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AE8E6" w14:textId="77777777" w:rsidR="00192E19" w:rsidRDefault="00192E19" w:rsidP="00192E19">
      <w:pPr>
        <w:spacing w:after="0"/>
        <w:ind w:left="-720" w:right="-720"/>
      </w:pPr>
    </w:p>
    <w:p w14:paraId="55D5ADB3" w14:textId="77777777" w:rsidR="00192E19" w:rsidRDefault="00192E19" w:rsidP="00192E19">
      <w:pPr>
        <w:rPr>
          <w:rFonts w:ascii="Montserrat SemiBold" w:hAnsi="Montserrat SemiBold"/>
          <w:color w:val="7A9A01" w:themeColor="accent5"/>
          <w:sz w:val="40"/>
          <w:szCs w:val="40"/>
        </w:rPr>
      </w:pPr>
      <w:r w:rsidRPr="00DB57FE">
        <w:rPr>
          <w:rFonts w:ascii="Montserrat SemiBold" w:hAnsi="Montserrat SemiBold"/>
          <w:noProof/>
          <w:color w:val="7A9A01" w:themeColor="accent5"/>
          <w:sz w:val="40"/>
          <w:szCs w:val="40"/>
          <w:lang w:val="en-US"/>
        </w:rPr>
        <mc:AlternateContent>
          <mc:Choice Requires="wps">
            <w:drawing>
              <wp:anchor distT="45720" distB="45720" distL="114300" distR="114300" simplePos="0" relativeHeight="251661312" behindDoc="0" locked="0" layoutInCell="1" allowOverlap="1" wp14:anchorId="01758678" wp14:editId="14B4664A">
                <wp:simplePos x="0" y="0"/>
                <wp:positionH relativeFrom="margin">
                  <wp:posOffset>975491</wp:posOffset>
                </wp:positionH>
                <wp:positionV relativeFrom="paragraph">
                  <wp:posOffset>3490989</wp:posOffset>
                </wp:positionV>
                <wp:extent cx="5313680" cy="156400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680" cy="1564005"/>
                        </a:xfrm>
                        <a:prstGeom prst="rect">
                          <a:avLst/>
                        </a:prstGeom>
                        <a:solidFill>
                          <a:srgbClr val="FFFFFF"/>
                        </a:solidFill>
                        <a:ln w="9525">
                          <a:noFill/>
                          <a:miter lim="800000"/>
                          <a:headEnd/>
                          <a:tailEnd/>
                        </a:ln>
                      </wps:spPr>
                      <wps:txbx>
                        <w:txbxContent>
                          <w:p w14:paraId="7A614479" w14:textId="7A3BE2C6" w:rsidR="00192E19" w:rsidRPr="00897074" w:rsidRDefault="00192E19" w:rsidP="00192E19">
                            <w:pPr>
                              <w:jc w:val="right"/>
                              <w:rPr>
                                <w:rFonts w:ascii="Aleo" w:hAnsi="Aleo"/>
                                <w:b/>
                                <w:color w:val="512A44" w:themeColor="accent1"/>
                                <w:sz w:val="52"/>
                              </w:rPr>
                            </w:pPr>
                            <w:r>
                              <w:rPr>
                                <w:rFonts w:ascii="Montserrat" w:hAnsi="Montserrat"/>
                                <w:b/>
                                <w:color w:val="7A9A01" w:themeColor="accent5"/>
                                <w:sz w:val="56"/>
                              </w:rPr>
                              <w:t>Extensions for</w:t>
                            </w:r>
                            <w:r>
                              <w:rPr>
                                <w:rFonts w:ascii="Montserrat" w:hAnsi="Montserrat"/>
                                <w:b/>
                                <w:color w:val="7A9A01" w:themeColor="accent5"/>
                                <w:sz w:val="56"/>
                              </w:rPr>
                              <w:t xml:space="preserve"> Access Requests</w:t>
                            </w:r>
                          </w:p>
                          <w:p w14:paraId="008CE1ED" w14:textId="77777777" w:rsidR="00192E19" w:rsidRPr="00DB57FE" w:rsidRDefault="00192E19" w:rsidP="00192E19">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58678" id="_x0000_t202" coordsize="21600,21600" o:spt="202" path="m,l,21600r21600,l21600,xe">
                <v:stroke joinstyle="miter"/>
                <v:path gradientshapeok="t" o:connecttype="rect"/>
              </v:shapetype>
              <v:shape id="Text Box 2" o:spid="_x0000_s1026" type="#_x0000_t202" style="position:absolute;margin-left:76.8pt;margin-top:274.9pt;width:418.4pt;height:12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" stroked="f">
                <v:textbox>
                  <w:txbxContent>
                    <w:p w14:paraId="7A614479" w14:textId="7A3BE2C6" w:rsidR="00192E19" w:rsidRPr="00897074" w:rsidRDefault="00192E19" w:rsidP="00192E19">
                      <w:pPr>
                        <w:jc w:val="right"/>
                        <w:rPr>
                          <w:rFonts w:ascii="Aleo" w:hAnsi="Aleo"/>
                          <w:b/>
                          <w:color w:val="512A44" w:themeColor="accent1"/>
                          <w:sz w:val="52"/>
                        </w:rPr>
                      </w:pPr>
                      <w:r>
                        <w:rPr>
                          <w:rFonts w:ascii="Montserrat" w:hAnsi="Montserrat"/>
                          <w:b/>
                          <w:color w:val="7A9A01" w:themeColor="accent5"/>
                          <w:sz w:val="56"/>
                        </w:rPr>
                        <w:t>Extensions for</w:t>
                      </w:r>
                      <w:r>
                        <w:rPr>
                          <w:rFonts w:ascii="Montserrat" w:hAnsi="Montserrat"/>
                          <w:b/>
                          <w:color w:val="7A9A01" w:themeColor="accent5"/>
                          <w:sz w:val="56"/>
                        </w:rPr>
                        <w:t xml:space="preserve"> Access Requests</w:t>
                      </w:r>
                    </w:p>
                    <w:p w14:paraId="008CE1ED" w14:textId="77777777" w:rsidR="00192E19" w:rsidRPr="00DB57FE" w:rsidRDefault="00192E19" w:rsidP="00192E19">
                      <w:pPr>
                        <w:rPr>
                          <w:sz w:val="24"/>
                        </w:rPr>
                      </w:pPr>
                    </w:p>
                  </w:txbxContent>
                </v:textbox>
                <w10:wrap type="square" anchorx="margin"/>
              </v:shape>
            </w:pict>
          </mc:Fallback>
        </mc:AlternateContent>
      </w:r>
      <w:r>
        <w:rPr>
          <w:rFonts w:ascii="Montserrat SemiBold" w:hAnsi="Montserrat SemiBold"/>
          <w:noProof/>
          <w:color w:val="7A9A01" w:themeColor="accent5"/>
          <w:sz w:val="40"/>
          <w:szCs w:val="40"/>
          <w:lang w:val="en-US"/>
        </w:rPr>
        <w:drawing>
          <wp:anchor distT="0" distB="0" distL="114300" distR="114300" simplePos="0" relativeHeight="251660288" behindDoc="0" locked="0" layoutInCell="1" allowOverlap="1" wp14:anchorId="67C4DD4E" wp14:editId="066AD610">
            <wp:simplePos x="0" y="0"/>
            <wp:positionH relativeFrom="margin">
              <wp:posOffset>-1927116</wp:posOffset>
            </wp:positionH>
            <wp:positionV relativeFrom="margin">
              <wp:posOffset>4391332</wp:posOffset>
            </wp:positionV>
            <wp:extent cx="9766935" cy="5220335"/>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G_Aurora_Moss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66935" cy="5220335"/>
                    </a:xfrm>
                    <a:prstGeom prst="rect">
                      <a:avLst/>
                    </a:prstGeom>
                  </pic:spPr>
                </pic:pic>
              </a:graphicData>
            </a:graphic>
            <wp14:sizeRelH relativeFrom="margin">
              <wp14:pctWidth>0</wp14:pctWidth>
            </wp14:sizeRelH>
            <wp14:sizeRelV relativeFrom="margin">
              <wp14:pctHeight>0</wp14:pctHeight>
            </wp14:sizeRelV>
          </wp:anchor>
        </w:drawing>
      </w:r>
      <w:r>
        <w:br w:type="page"/>
      </w:r>
      <w:r>
        <w:rPr>
          <w:rFonts w:ascii="Montserrat SemiBold" w:hAnsi="Montserrat SemiBold"/>
          <w:noProof/>
          <w:color w:val="7A9A01" w:themeColor="accent5"/>
          <w:sz w:val="40"/>
          <w:szCs w:val="40"/>
          <w:lang w:val="en-US"/>
        </w:rPr>
        <w:drawing>
          <wp:anchor distT="0" distB="0" distL="114300" distR="114300" simplePos="0" relativeHeight="251659264" behindDoc="0" locked="0" layoutInCell="1" allowOverlap="1" wp14:anchorId="4BA2E201" wp14:editId="42C51110">
            <wp:simplePos x="914400" y="669851"/>
            <wp:positionH relativeFrom="margin">
              <wp:align>right</wp:align>
            </wp:positionH>
            <wp:positionV relativeFrom="margin">
              <wp:align>top</wp:align>
            </wp:positionV>
            <wp:extent cx="1892812" cy="679705"/>
            <wp:effectExtent l="0" t="0" r="0"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YWordmark_2018_RGB[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2812" cy="679705"/>
                    </a:xfrm>
                    <a:prstGeom prst="rect">
                      <a:avLst/>
                    </a:prstGeom>
                  </pic:spPr>
                </pic:pic>
              </a:graphicData>
            </a:graphic>
          </wp:anchor>
        </w:drawing>
      </w:r>
    </w:p>
    <w:p w14:paraId="3AC70B44" w14:textId="493083C7" w:rsidR="001F0FB0" w:rsidRPr="00192E19" w:rsidRDefault="0060636F" w:rsidP="00B93145">
      <w:pPr>
        <w:pStyle w:val="Title"/>
        <w:rPr>
          <w:rFonts w:ascii="Montserrat SemiBold" w:hAnsi="Montserrat SemiBold"/>
        </w:rPr>
      </w:pPr>
      <w:r w:rsidRPr="00192E19">
        <w:rPr>
          <w:rFonts w:ascii="Montserrat SemiBold" w:hAnsi="Montserrat SemiBold"/>
          <w:color w:val="004B54" w:themeColor="accent2" w:themeShade="80"/>
        </w:rPr>
        <w:lastRenderedPageBreak/>
        <w:t xml:space="preserve">Guidance </w:t>
      </w:r>
      <w:r w:rsidR="002C59F2" w:rsidRPr="00192E19">
        <w:rPr>
          <w:rFonts w:ascii="Montserrat SemiBold" w:hAnsi="Montserrat SemiBold"/>
          <w:color w:val="004B54" w:themeColor="accent2" w:themeShade="80"/>
        </w:rPr>
        <w:t>for Requesting an Extension: Sec</w:t>
      </w:r>
      <w:r w:rsidR="0096598A" w:rsidRPr="00192E19">
        <w:rPr>
          <w:rFonts w:ascii="Montserrat SemiBold" w:hAnsi="Montserrat SemiBold"/>
          <w:color w:val="004B54" w:themeColor="accent2" w:themeShade="80"/>
        </w:rPr>
        <w:t xml:space="preserve">tion </w:t>
      </w:r>
      <w:r w:rsidR="002C59F2" w:rsidRPr="00192E19">
        <w:rPr>
          <w:rFonts w:ascii="Montserrat SemiBold" w:hAnsi="Montserrat SemiBold"/>
          <w:color w:val="004B54" w:themeColor="accent2" w:themeShade="80"/>
        </w:rPr>
        <w:t>62</w:t>
      </w:r>
      <w:r w:rsidR="002C59F2" w:rsidRPr="00192E19">
        <w:rPr>
          <w:rFonts w:ascii="Montserrat SemiBold" w:hAnsi="Montserrat SemiBold"/>
          <w:b/>
          <w:color w:val="004B54" w:themeColor="accent2" w:themeShade="80"/>
        </w:rPr>
        <w:t>(2)(a)(</w:t>
      </w:r>
      <w:proofErr w:type="spellStart"/>
      <w:r w:rsidR="002C59F2" w:rsidRPr="00192E19">
        <w:rPr>
          <w:rFonts w:ascii="Montserrat SemiBold" w:hAnsi="Montserrat SemiBold"/>
          <w:b/>
          <w:color w:val="004B54" w:themeColor="accent2" w:themeShade="80"/>
        </w:rPr>
        <w:t>i</w:t>
      </w:r>
      <w:proofErr w:type="spellEnd"/>
      <w:r w:rsidR="002C59F2" w:rsidRPr="00192E19">
        <w:rPr>
          <w:rFonts w:ascii="Montserrat SemiBold" w:hAnsi="Montserrat SemiBold"/>
          <w:b/>
          <w:color w:val="004B54" w:themeColor="accent2" w:themeShade="80"/>
        </w:rPr>
        <w:t>)</w:t>
      </w:r>
    </w:p>
    <w:p w14:paraId="010812B0" w14:textId="77777777" w:rsidR="00B93145" w:rsidRDefault="00B93145" w:rsidP="00B93145"/>
    <w:p w14:paraId="2DC19B64" w14:textId="649A33D0" w:rsidR="00B93145" w:rsidRPr="00AC3103" w:rsidRDefault="0096598A" w:rsidP="00AC3103">
      <w:pPr>
        <w:pStyle w:val="Heading1"/>
        <w:spacing w:before="0" w:line="240" w:lineRule="auto"/>
        <w:rPr>
          <w:rFonts w:ascii="Nunito Sans" w:hAnsi="Nunito Sans"/>
          <w:b w:val="0"/>
          <w:color w:val="3C1F32" w:themeColor="accent1" w:themeShade="BF"/>
          <w:sz w:val="36"/>
          <w:szCs w:val="36"/>
        </w:rPr>
      </w:pPr>
      <w:r w:rsidRPr="00AC3103">
        <w:rPr>
          <w:rFonts w:ascii="Nunito Sans" w:hAnsi="Nunito Sans"/>
          <w:b w:val="0"/>
          <w:color w:val="3C1F32" w:themeColor="accent1" w:themeShade="BF"/>
          <w:sz w:val="36"/>
          <w:szCs w:val="36"/>
        </w:rPr>
        <w:t xml:space="preserve">Introduction to Section </w:t>
      </w:r>
      <w:r w:rsidR="002C59F2" w:rsidRPr="00AC3103">
        <w:rPr>
          <w:rFonts w:ascii="Nunito Sans" w:hAnsi="Nunito Sans"/>
          <w:b w:val="0"/>
          <w:color w:val="3C1F32" w:themeColor="accent1" w:themeShade="BF"/>
          <w:sz w:val="36"/>
          <w:szCs w:val="36"/>
        </w:rPr>
        <w:t>62(2)(a)(</w:t>
      </w:r>
      <w:proofErr w:type="spellStart"/>
      <w:r w:rsidR="002C59F2" w:rsidRPr="00AC3103">
        <w:rPr>
          <w:rFonts w:ascii="Nunito Sans" w:hAnsi="Nunito Sans"/>
          <w:b w:val="0"/>
          <w:color w:val="3C1F32" w:themeColor="accent1" w:themeShade="BF"/>
          <w:sz w:val="36"/>
          <w:szCs w:val="36"/>
        </w:rPr>
        <w:t>i</w:t>
      </w:r>
      <w:proofErr w:type="spellEnd"/>
      <w:r w:rsidR="002C59F2" w:rsidRPr="00AC3103">
        <w:rPr>
          <w:rFonts w:ascii="Nunito Sans" w:hAnsi="Nunito Sans"/>
          <w:b w:val="0"/>
          <w:color w:val="3C1F32" w:themeColor="accent1" w:themeShade="BF"/>
          <w:sz w:val="36"/>
          <w:szCs w:val="36"/>
        </w:rPr>
        <w:t>)</w:t>
      </w:r>
    </w:p>
    <w:p w14:paraId="77B5D4B3" w14:textId="77777777" w:rsidR="00AC3103" w:rsidRDefault="00AC3103" w:rsidP="00AC3103">
      <w:pPr>
        <w:spacing w:after="0" w:line="240" w:lineRule="auto"/>
      </w:pPr>
    </w:p>
    <w:p w14:paraId="16B9478F" w14:textId="73E01C97" w:rsidR="0096598A" w:rsidRDefault="0096598A" w:rsidP="00AC3103">
      <w:pPr>
        <w:spacing w:after="0" w:line="240" w:lineRule="auto"/>
      </w:pPr>
      <w:bookmarkStart w:id="0" w:name="_GoBack"/>
      <w:bookmarkEnd w:id="0"/>
      <w:r>
        <w:t xml:space="preserve">Section </w:t>
      </w:r>
      <w:r w:rsidR="002C59F2">
        <w:t>62(2)(a)(</w:t>
      </w:r>
      <w:proofErr w:type="spellStart"/>
      <w:r w:rsidR="002C59F2">
        <w:t>i</w:t>
      </w:r>
      <w:proofErr w:type="spellEnd"/>
      <w:r w:rsidR="002C59F2">
        <w:t xml:space="preserve">) of the </w:t>
      </w:r>
      <w:r>
        <w:rPr>
          <w:i/>
        </w:rPr>
        <w:t xml:space="preserve">Access to Information and Protection of Privacy Act </w:t>
      </w:r>
      <w:r>
        <w:t xml:space="preserve">(ATIPP Act) </w:t>
      </w:r>
      <w:r w:rsidR="003761F2">
        <w:t>gives</w:t>
      </w:r>
      <w:r w:rsidR="0060636F">
        <w:t xml:space="preserve"> </w:t>
      </w:r>
      <w:r w:rsidR="00467261">
        <w:t xml:space="preserve">the Access and Privacy Officer (APO) </w:t>
      </w:r>
      <w:r w:rsidR="003761F2">
        <w:t xml:space="preserve">the ability </w:t>
      </w:r>
      <w:r w:rsidR="00467261">
        <w:t xml:space="preserve">to extend the time for a public body to respond to an access request. </w:t>
      </w:r>
    </w:p>
    <w:p w14:paraId="203EAF6E" w14:textId="77777777" w:rsidR="00C854B3" w:rsidRPr="00192E19" w:rsidRDefault="00BD6E7E" w:rsidP="00C854B3">
      <w:pPr>
        <w:pStyle w:val="Heading1"/>
        <w:rPr>
          <w:rFonts w:ascii="Nunito Sans" w:hAnsi="Nunito Sans"/>
          <w:b w:val="0"/>
          <w:color w:val="3C1F32" w:themeColor="accent1" w:themeShade="BF"/>
          <w:sz w:val="36"/>
          <w:szCs w:val="36"/>
        </w:rPr>
      </w:pPr>
      <w:r w:rsidRPr="00192E19">
        <w:rPr>
          <w:rFonts w:ascii="Nunito Sans" w:hAnsi="Nunito Sans"/>
          <w:b w:val="0"/>
          <w:color w:val="3C1F32" w:themeColor="accent1" w:themeShade="BF"/>
          <w:sz w:val="36"/>
          <w:szCs w:val="36"/>
        </w:rPr>
        <w:t>Purpose</w:t>
      </w:r>
    </w:p>
    <w:p w14:paraId="1FDCC5BC" w14:textId="52B8B029" w:rsidR="00BD6E7E" w:rsidRDefault="00BD6E7E" w:rsidP="00BD6E7E">
      <w:r>
        <w:t xml:space="preserve">This </w:t>
      </w:r>
      <w:r w:rsidR="00FC44FC">
        <w:t>guid</w:t>
      </w:r>
      <w:r w:rsidR="0060636F">
        <w:t>ance</w:t>
      </w:r>
      <w:r w:rsidR="00FC44FC">
        <w:t xml:space="preserve"> s</w:t>
      </w:r>
      <w:r>
        <w:t>erves two purposes:</w:t>
      </w:r>
    </w:p>
    <w:p w14:paraId="739A8EAB" w14:textId="124AED17" w:rsidR="00BD6E7E" w:rsidRDefault="00BD6E7E" w:rsidP="00BD6E7E">
      <w:pPr>
        <w:pStyle w:val="ListParagraph"/>
        <w:numPr>
          <w:ilvl w:val="0"/>
          <w:numId w:val="3"/>
        </w:numPr>
      </w:pPr>
      <w:r>
        <w:t xml:space="preserve">to communicate the criteria that is used by the Access and Privacy Officer (APO) when determining whether </w:t>
      </w:r>
      <w:r w:rsidR="00467261">
        <w:t xml:space="preserve">an extension is authorized under </w:t>
      </w:r>
      <w:r>
        <w:t xml:space="preserve">section </w:t>
      </w:r>
      <w:r w:rsidR="00467261">
        <w:t>62(2)(a)(i</w:t>
      </w:r>
      <w:r w:rsidR="0060636F">
        <w:t>)</w:t>
      </w:r>
      <w:r>
        <w:t>; and</w:t>
      </w:r>
    </w:p>
    <w:p w14:paraId="00D250CA" w14:textId="13314F9E" w:rsidR="00C854B3" w:rsidRPr="00DC4F1B" w:rsidRDefault="00BD6E7E" w:rsidP="0081366F">
      <w:pPr>
        <w:pStyle w:val="ListParagraph"/>
        <w:numPr>
          <w:ilvl w:val="0"/>
          <w:numId w:val="3"/>
        </w:numPr>
      </w:pPr>
      <w:r>
        <w:t xml:space="preserve">to assist </w:t>
      </w:r>
      <w:r w:rsidR="00467261">
        <w:t xml:space="preserve">the heads of public bodies </w:t>
      </w:r>
      <w:r w:rsidR="00047BEB">
        <w:t xml:space="preserve">to </w:t>
      </w:r>
      <w:r w:rsidR="001F13C2">
        <w:t>make requests</w:t>
      </w:r>
      <w:r w:rsidR="00467261">
        <w:t xml:space="preserve"> for extension</w:t>
      </w:r>
      <w:r w:rsidR="00443517">
        <w:t>s</w:t>
      </w:r>
      <w:r w:rsidR="00467261">
        <w:t xml:space="preserve">. </w:t>
      </w:r>
      <w:r>
        <w:t xml:space="preserve"> </w:t>
      </w:r>
    </w:p>
    <w:p w14:paraId="1F72003E" w14:textId="26E4732C" w:rsidR="00C854B3" w:rsidRPr="00192E19" w:rsidRDefault="00680D0D" w:rsidP="00CE235A">
      <w:pPr>
        <w:pStyle w:val="Heading1"/>
        <w:rPr>
          <w:rFonts w:ascii="Nunito Sans" w:hAnsi="Nunito Sans"/>
          <w:b w:val="0"/>
          <w:color w:val="3C1F32" w:themeColor="accent1" w:themeShade="BF"/>
          <w:sz w:val="36"/>
          <w:szCs w:val="36"/>
        </w:rPr>
      </w:pPr>
      <w:r w:rsidRPr="00192E19">
        <w:rPr>
          <w:rFonts w:ascii="Nunito Sans" w:hAnsi="Nunito Sans"/>
          <w:b w:val="0"/>
          <w:color w:val="3C1F32" w:themeColor="accent1" w:themeShade="BF"/>
          <w:sz w:val="36"/>
          <w:szCs w:val="36"/>
        </w:rPr>
        <w:t xml:space="preserve">Overview of </w:t>
      </w:r>
      <w:r w:rsidR="00EA545D" w:rsidRPr="00192E19">
        <w:rPr>
          <w:rFonts w:ascii="Nunito Sans" w:hAnsi="Nunito Sans"/>
          <w:b w:val="0"/>
          <w:color w:val="3C1F32" w:themeColor="accent1" w:themeShade="BF"/>
          <w:sz w:val="36"/>
          <w:szCs w:val="36"/>
        </w:rPr>
        <w:t xml:space="preserve">Section </w:t>
      </w:r>
      <w:r w:rsidR="00FC44FC" w:rsidRPr="00192E19">
        <w:rPr>
          <w:rFonts w:ascii="Nunito Sans" w:hAnsi="Nunito Sans"/>
          <w:b w:val="0"/>
          <w:color w:val="3C1F32" w:themeColor="accent1" w:themeShade="BF"/>
          <w:sz w:val="36"/>
          <w:szCs w:val="36"/>
        </w:rPr>
        <w:t>62(2)</w:t>
      </w:r>
      <w:r w:rsidR="00791B09" w:rsidRPr="00192E19">
        <w:rPr>
          <w:rFonts w:ascii="Nunito Sans" w:hAnsi="Nunito Sans"/>
          <w:b w:val="0"/>
          <w:color w:val="3C1F32" w:themeColor="accent1" w:themeShade="BF"/>
          <w:sz w:val="36"/>
          <w:szCs w:val="36"/>
        </w:rPr>
        <w:t>(</w:t>
      </w:r>
      <w:r w:rsidR="00FC44FC" w:rsidRPr="00192E19">
        <w:rPr>
          <w:rFonts w:ascii="Nunito Sans" w:hAnsi="Nunito Sans"/>
          <w:b w:val="0"/>
          <w:color w:val="3C1F32" w:themeColor="accent1" w:themeShade="BF"/>
          <w:sz w:val="36"/>
          <w:szCs w:val="36"/>
        </w:rPr>
        <w:t xml:space="preserve">a)(i) </w:t>
      </w:r>
    </w:p>
    <w:p w14:paraId="5A7C4698" w14:textId="448A228B" w:rsidR="003B1B0B" w:rsidRDefault="00443517" w:rsidP="003B1B0B">
      <w:r>
        <w:t>S</w:t>
      </w:r>
      <w:r w:rsidR="00791B09">
        <w:t xml:space="preserve">ection </w:t>
      </w:r>
      <w:r>
        <w:t xml:space="preserve">62(1) </w:t>
      </w:r>
      <w:r w:rsidR="00791B09">
        <w:t>allows a public body to request additional time to respond to an access request</w:t>
      </w:r>
      <w:r w:rsidR="004D5160">
        <w:t>. Section 62(2)</w:t>
      </w:r>
      <w:r>
        <w:t>(i) gives the APO the ability to grant the extension</w:t>
      </w:r>
      <w:r w:rsidR="00791B09">
        <w:t xml:space="preserve"> </w:t>
      </w:r>
      <w:r w:rsidR="001F13C2">
        <w:t>if the</w:t>
      </w:r>
      <w:r w:rsidR="00A834DC">
        <w:t xml:space="preserve"> request </w:t>
      </w:r>
      <w:r w:rsidR="00992FAC">
        <w:t xml:space="preserve">involves a significant amount of information and the </w:t>
      </w:r>
      <w:r>
        <w:t xml:space="preserve">required </w:t>
      </w:r>
      <w:r w:rsidR="00992FAC">
        <w:t>work to provide access would unreasonably interfere with the operations of the public body.</w:t>
      </w:r>
      <w:r w:rsidR="00791B09">
        <w:t xml:space="preserve"> The additional time </w:t>
      </w:r>
      <w:r>
        <w:t xml:space="preserve">is intended to create </w:t>
      </w:r>
      <w:r w:rsidR="00680D0D">
        <w:t>a</w:t>
      </w:r>
      <w:r w:rsidR="00791B09">
        <w:t xml:space="preserve"> reasonable time</w:t>
      </w:r>
      <w:r w:rsidR="00D851DF">
        <w:t xml:space="preserve"> frame for the public body</w:t>
      </w:r>
      <w:r w:rsidR="00791B09">
        <w:t xml:space="preserve"> to respond so </w:t>
      </w:r>
      <w:r w:rsidR="00D851DF">
        <w:t xml:space="preserve">it </w:t>
      </w:r>
      <w:r w:rsidR="00791B09">
        <w:t xml:space="preserve">can maintain its other operations, </w:t>
      </w:r>
      <w:r w:rsidR="00A834DC">
        <w:t>which includes</w:t>
      </w:r>
      <w:r w:rsidR="00791B09">
        <w:t xml:space="preserve"> responding to other access requests. </w:t>
      </w:r>
    </w:p>
    <w:p w14:paraId="272F28A8" w14:textId="592E2633" w:rsidR="00D000B4" w:rsidRPr="00192E19" w:rsidRDefault="00D000B4" w:rsidP="00D000B4">
      <w:pPr>
        <w:pStyle w:val="Heading2"/>
        <w:rPr>
          <w:b w:val="0"/>
          <w:color w:val="3C1F32" w:themeColor="accent1" w:themeShade="BF"/>
          <w:sz w:val="36"/>
          <w:szCs w:val="36"/>
        </w:rPr>
      </w:pPr>
      <w:r w:rsidRPr="00192E19">
        <w:rPr>
          <w:b w:val="0"/>
          <w:color w:val="3C1F32" w:themeColor="accent1" w:themeShade="BF"/>
          <w:sz w:val="36"/>
          <w:szCs w:val="36"/>
        </w:rPr>
        <w:t xml:space="preserve">Section 62(2)(a)(i) </w:t>
      </w:r>
    </w:p>
    <w:p w14:paraId="038AA6E8" w14:textId="0AE39DEC" w:rsidR="00D000B4" w:rsidRDefault="00D000B4" w:rsidP="00D000B4">
      <w:pPr>
        <w:rPr>
          <w:lang w:val="en-NZ"/>
        </w:rPr>
      </w:pPr>
      <w:r>
        <w:rPr>
          <w:lang w:val="en-NZ"/>
        </w:rPr>
        <w:t>This section states:</w:t>
      </w:r>
    </w:p>
    <w:p w14:paraId="266C4E1B" w14:textId="77777777" w:rsidR="002D64DA" w:rsidRPr="00AA46C2" w:rsidRDefault="00D000B4" w:rsidP="002D64DA">
      <w:pPr>
        <w:rPr>
          <w:i/>
          <w:lang w:val="en-NZ"/>
        </w:rPr>
      </w:pPr>
      <w:r w:rsidRPr="00AA46C2">
        <w:rPr>
          <w:i/>
          <w:lang w:val="en-NZ"/>
        </w:rPr>
        <w:t>62(1) Not later than five business days before the response date for an access request, the head of a responsive public body may make a written request (with reasons) to the access and privacy officer for an extension of the time within which the head must respond to the access request.</w:t>
      </w:r>
    </w:p>
    <w:p w14:paraId="0D9EF2EA" w14:textId="77777777" w:rsidR="002D64DA" w:rsidRPr="00AA46C2" w:rsidRDefault="00D000B4" w:rsidP="002D64DA">
      <w:pPr>
        <w:rPr>
          <w:i/>
          <w:lang w:val="en-NZ"/>
        </w:rPr>
      </w:pPr>
      <w:r w:rsidRPr="00AA46C2">
        <w:rPr>
          <w:i/>
          <w:lang w:val="en-NZ"/>
        </w:rPr>
        <w:t>(2) Not later than the third business day after receiving a request under subsection (1), the access and privacy officer may, subject to subsection (3), grant the extension if</w:t>
      </w:r>
    </w:p>
    <w:p w14:paraId="111BBC49" w14:textId="77777777" w:rsidR="002D64DA" w:rsidRPr="00AA46C2" w:rsidRDefault="00D000B4" w:rsidP="002D64DA">
      <w:pPr>
        <w:rPr>
          <w:i/>
          <w:lang w:val="en-NZ"/>
        </w:rPr>
      </w:pPr>
      <w:r w:rsidRPr="00AA46C2">
        <w:rPr>
          <w:b/>
          <w:i/>
          <w:lang w:val="en-NZ"/>
        </w:rPr>
        <w:t xml:space="preserve"> </w:t>
      </w:r>
      <w:r w:rsidRPr="00AA46C2">
        <w:rPr>
          <w:b/>
          <w:i/>
          <w:lang w:val="en-NZ"/>
        </w:rPr>
        <w:tab/>
      </w:r>
      <w:r w:rsidRPr="00AA46C2">
        <w:rPr>
          <w:i/>
          <w:lang w:val="en-NZ"/>
        </w:rPr>
        <w:t>a) the access and privacy officer determines that</w:t>
      </w:r>
    </w:p>
    <w:p w14:paraId="198A68CD" w14:textId="70130679" w:rsidR="00D000B4" w:rsidRPr="00AA46C2" w:rsidRDefault="00D000B4" w:rsidP="002D64DA">
      <w:pPr>
        <w:ind w:left="720"/>
        <w:rPr>
          <w:i/>
          <w:lang w:val="en-NZ"/>
        </w:rPr>
      </w:pPr>
      <w:r w:rsidRPr="00AA46C2">
        <w:rPr>
          <w:i/>
          <w:lang w:val="en-NZ"/>
        </w:rPr>
        <w:lastRenderedPageBreak/>
        <w:t>(i) based on the amount of information identified as relevant to the access request, the amount of research, compilation and examination of information that would be required to be undertaken by the responsive public body to enable the head to respond to the access request by the response date would unreasonably interfere with the responsive public body’s operations.</w:t>
      </w:r>
    </w:p>
    <w:p w14:paraId="7107BE3B" w14:textId="2787F3E5" w:rsidR="00B41A43" w:rsidRPr="00192E19" w:rsidRDefault="00B41A43" w:rsidP="00D000B4">
      <w:pPr>
        <w:pStyle w:val="Heading2"/>
        <w:rPr>
          <w:b w:val="0"/>
          <w:color w:val="3C1F32" w:themeColor="accent1" w:themeShade="BF"/>
          <w:sz w:val="36"/>
          <w:szCs w:val="36"/>
          <w:lang w:val="en-NZ"/>
        </w:rPr>
      </w:pPr>
      <w:r w:rsidRPr="00192E19">
        <w:rPr>
          <w:b w:val="0"/>
          <w:color w:val="3C1F32" w:themeColor="accent1" w:themeShade="BF"/>
          <w:sz w:val="36"/>
          <w:szCs w:val="36"/>
          <w:lang w:val="en-NZ"/>
        </w:rPr>
        <w:t xml:space="preserve">Interpretation </w:t>
      </w:r>
      <w:r w:rsidR="00F261B8" w:rsidRPr="00192E19">
        <w:rPr>
          <w:b w:val="0"/>
          <w:color w:val="3C1F32" w:themeColor="accent1" w:themeShade="BF"/>
          <w:sz w:val="36"/>
          <w:szCs w:val="36"/>
          <w:lang w:val="en-NZ"/>
        </w:rPr>
        <w:t xml:space="preserve">of section </w:t>
      </w:r>
      <w:r w:rsidR="00D000B4" w:rsidRPr="00192E19">
        <w:rPr>
          <w:b w:val="0"/>
          <w:color w:val="3C1F32" w:themeColor="accent1" w:themeShade="BF"/>
          <w:sz w:val="36"/>
          <w:szCs w:val="36"/>
          <w:lang w:val="en-NZ"/>
        </w:rPr>
        <w:t>62(2)(a)(i)</w:t>
      </w:r>
    </w:p>
    <w:p w14:paraId="12C1D3A8" w14:textId="3D2289A8" w:rsidR="005B6051" w:rsidRDefault="005B6051" w:rsidP="00C90EE7">
      <w:pPr>
        <w:rPr>
          <w:lang w:val="en-NZ"/>
        </w:rPr>
      </w:pPr>
      <w:r>
        <w:rPr>
          <w:lang w:val="en-NZ"/>
        </w:rPr>
        <w:t>What is research, compilation and examination of information</w:t>
      </w:r>
      <w:r w:rsidR="001B3D82">
        <w:rPr>
          <w:lang w:val="en-NZ"/>
        </w:rPr>
        <w:t xml:space="preserve"> that would unreasonably interfere with the </w:t>
      </w:r>
      <w:r w:rsidR="00C027D6">
        <w:rPr>
          <w:lang w:val="en-NZ"/>
        </w:rPr>
        <w:t xml:space="preserve">public body’s </w:t>
      </w:r>
      <w:r w:rsidR="001B3D82">
        <w:rPr>
          <w:lang w:val="en-NZ"/>
        </w:rPr>
        <w:t>operations</w:t>
      </w:r>
      <w:r>
        <w:rPr>
          <w:lang w:val="en-NZ"/>
        </w:rPr>
        <w:t>?</w:t>
      </w:r>
    </w:p>
    <w:p w14:paraId="719E8251" w14:textId="150BBF6C" w:rsidR="00963350" w:rsidRDefault="00963350" w:rsidP="00963350">
      <w:pPr>
        <w:pStyle w:val="Heading4"/>
      </w:pPr>
      <w:r>
        <w:t>Research, compilation and examination of information</w:t>
      </w:r>
    </w:p>
    <w:p w14:paraId="7EBB5D4F" w14:textId="397A689D" w:rsidR="00963350" w:rsidRDefault="00963350" w:rsidP="00963350">
      <w:r>
        <w:t xml:space="preserve">‘Research’ </w:t>
      </w:r>
      <w:r w:rsidRPr="00F80B24">
        <w:t>means finding the information; ‘compilation’ means bringing or assembling it together; an</w:t>
      </w:r>
      <w:r>
        <w:t>d ‘examination’ means a detailed inspection</w:t>
      </w:r>
      <w:r w:rsidR="00B809A5">
        <w:t xml:space="preserve"> and review</w:t>
      </w:r>
      <w:r>
        <w:t xml:space="preserve"> of the information. Together, these terms can encompass </w:t>
      </w:r>
      <w:r w:rsidR="00F80B24">
        <w:t xml:space="preserve">some </w:t>
      </w:r>
      <w:r>
        <w:t>the following tasks:</w:t>
      </w:r>
    </w:p>
    <w:p w14:paraId="0EE2BD1D" w14:textId="77777777" w:rsidR="00963350" w:rsidRPr="00963350" w:rsidRDefault="00963350" w:rsidP="00963350">
      <w:pPr>
        <w:pStyle w:val="ListParagraph"/>
        <w:numPr>
          <w:ilvl w:val="0"/>
          <w:numId w:val="4"/>
        </w:numPr>
        <w:rPr>
          <w:lang w:val="en-NZ"/>
        </w:rPr>
      </w:pPr>
      <w:r w:rsidRPr="00963350">
        <w:rPr>
          <w:lang w:val="en-NZ"/>
        </w:rPr>
        <w:t xml:space="preserve">identifying the requested information; </w:t>
      </w:r>
    </w:p>
    <w:p w14:paraId="2B7DC379" w14:textId="77777777" w:rsidR="00963350" w:rsidRPr="00963350" w:rsidRDefault="00963350" w:rsidP="00963350">
      <w:pPr>
        <w:pStyle w:val="ListParagraph"/>
        <w:numPr>
          <w:ilvl w:val="0"/>
          <w:numId w:val="4"/>
        </w:numPr>
        <w:rPr>
          <w:lang w:val="en-NZ"/>
        </w:rPr>
      </w:pPr>
      <w:r w:rsidRPr="00963350">
        <w:rPr>
          <w:lang w:val="en-NZ"/>
        </w:rPr>
        <w:t>determining whether the requested information is held;</w:t>
      </w:r>
    </w:p>
    <w:p w14:paraId="12C0CCCE" w14:textId="77777777" w:rsidR="00963350" w:rsidRPr="00963350" w:rsidRDefault="00963350" w:rsidP="00963350">
      <w:pPr>
        <w:pStyle w:val="ListParagraph"/>
        <w:numPr>
          <w:ilvl w:val="0"/>
          <w:numId w:val="4"/>
        </w:numPr>
        <w:rPr>
          <w:lang w:val="en-NZ"/>
        </w:rPr>
      </w:pPr>
      <w:r w:rsidRPr="00963350">
        <w:rPr>
          <w:lang w:val="en-NZ"/>
        </w:rPr>
        <w:t xml:space="preserve">searching for the requested information; </w:t>
      </w:r>
    </w:p>
    <w:p w14:paraId="097DB822" w14:textId="77777777" w:rsidR="00963350" w:rsidRPr="00963350" w:rsidRDefault="00963350" w:rsidP="00963350">
      <w:pPr>
        <w:pStyle w:val="ListParagraph"/>
        <w:numPr>
          <w:ilvl w:val="0"/>
          <w:numId w:val="4"/>
        </w:numPr>
        <w:rPr>
          <w:lang w:val="en-NZ"/>
        </w:rPr>
      </w:pPr>
      <w:r w:rsidRPr="00963350">
        <w:rPr>
          <w:lang w:val="en-NZ"/>
        </w:rPr>
        <w:t>retrieving the requested information;</w:t>
      </w:r>
    </w:p>
    <w:p w14:paraId="370D93CB" w14:textId="0B4A3D73" w:rsidR="00963350" w:rsidRPr="00963350" w:rsidRDefault="00963350" w:rsidP="00963350">
      <w:pPr>
        <w:pStyle w:val="ListParagraph"/>
        <w:numPr>
          <w:ilvl w:val="0"/>
          <w:numId w:val="4"/>
        </w:numPr>
        <w:rPr>
          <w:lang w:val="en-NZ"/>
        </w:rPr>
      </w:pPr>
      <w:r w:rsidRPr="00963350">
        <w:rPr>
          <w:lang w:val="en-NZ"/>
        </w:rPr>
        <w:t xml:space="preserve">extracting the requested information; </w:t>
      </w:r>
    </w:p>
    <w:p w14:paraId="6B422FCB" w14:textId="70557675" w:rsidR="0064239E" w:rsidRDefault="00963350" w:rsidP="00963350">
      <w:pPr>
        <w:pStyle w:val="ListParagraph"/>
        <w:numPr>
          <w:ilvl w:val="0"/>
          <w:numId w:val="4"/>
        </w:numPr>
        <w:rPr>
          <w:lang w:val="en-NZ"/>
        </w:rPr>
      </w:pPr>
      <w:r w:rsidRPr="00963350">
        <w:rPr>
          <w:lang w:val="en-NZ"/>
        </w:rPr>
        <w:t>assembling or compiling the requested information</w:t>
      </w:r>
      <w:r w:rsidR="0064239E">
        <w:rPr>
          <w:lang w:val="en-NZ"/>
        </w:rPr>
        <w:t xml:space="preserve">; </w:t>
      </w:r>
    </w:p>
    <w:p w14:paraId="1598C193" w14:textId="77777777" w:rsidR="008526AB" w:rsidRDefault="0064239E" w:rsidP="00963350">
      <w:pPr>
        <w:pStyle w:val="ListParagraph"/>
        <w:numPr>
          <w:ilvl w:val="0"/>
          <w:numId w:val="4"/>
        </w:numPr>
        <w:rPr>
          <w:lang w:val="en-NZ"/>
        </w:rPr>
      </w:pPr>
      <w:r>
        <w:rPr>
          <w:lang w:val="en-NZ"/>
        </w:rPr>
        <w:t>reviewing the requested information</w:t>
      </w:r>
      <w:r w:rsidR="008526AB">
        <w:rPr>
          <w:lang w:val="en-NZ"/>
        </w:rPr>
        <w:t>; and</w:t>
      </w:r>
    </w:p>
    <w:p w14:paraId="1EEBA95E" w14:textId="19AE6B94" w:rsidR="00963350" w:rsidRDefault="008526AB" w:rsidP="00963350">
      <w:pPr>
        <w:pStyle w:val="ListParagraph"/>
        <w:numPr>
          <w:ilvl w:val="0"/>
          <w:numId w:val="4"/>
        </w:numPr>
        <w:rPr>
          <w:lang w:val="en-NZ"/>
        </w:rPr>
      </w:pPr>
      <w:r>
        <w:rPr>
          <w:lang w:val="en-NZ"/>
        </w:rPr>
        <w:t>redacting information subject to exceptions to access.</w:t>
      </w:r>
    </w:p>
    <w:p w14:paraId="6DDE8F08" w14:textId="77777777" w:rsidR="00EE6B06" w:rsidRDefault="00EE6B06" w:rsidP="00EE6B06">
      <w:pPr>
        <w:pStyle w:val="Heading4"/>
        <w:rPr>
          <w:lang w:val="en-NZ"/>
        </w:rPr>
      </w:pPr>
      <w:r>
        <w:rPr>
          <w:lang w:val="en-NZ"/>
        </w:rPr>
        <w:t>Unreasonably interfere with the public body’s operations</w:t>
      </w:r>
    </w:p>
    <w:p w14:paraId="0E2211CF" w14:textId="2C6703DE" w:rsidR="00EE6B06" w:rsidRDefault="00EE6B06" w:rsidP="00EE6B06">
      <w:pPr>
        <w:rPr>
          <w:lang w:val="en-NZ"/>
        </w:rPr>
      </w:pPr>
      <w:r>
        <w:rPr>
          <w:lang w:val="en-NZ"/>
        </w:rPr>
        <w:t xml:space="preserve">The above tasks ‘unreasonably interfere’ </w:t>
      </w:r>
      <w:r w:rsidR="00C16C33">
        <w:rPr>
          <w:lang w:val="en-NZ"/>
        </w:rPr>
        <w:t xml:space="preserve">with operations </w:t>
      </w:r>
      <w:r>
        <w:rPr>
          <w:lang w:val="en-NZ"/>
        </w:rPr>
        <w:t xml:space="preserve">when </w:t>
      </w:r>
      <w:r w:rsidR="004D5160">
        <w:rPr>
          <w:lang w:val="en-NZ"/>
        </w:rPr>
        <w:t>p</w:t>
      </w:r>
      <w:r w:rsidR="00C16C33">
        <w:rPr>
          <w:lang w:val="en-NZ"/>
        </w:rPr>
        <w:t>rocessing t</w:t>
      </w:r>
      <w:r>
        <w:rPr>
          <w:lang w:val="en-NZ"/>
        </w:rPr>
        <w:t xml:space="preserve">his amount </w:t>
      </w:r>
      <w:r w:rsidR="00C16C33">
        <w:rPr>
          <w:lang w:val="en-NZ"/>
        </w:rPr>
        <w:t xml:space="preserve">of information </w:t>
      </w:r>
      <w:r w:rsidR="00C90EE7">
        <w:rPr>
          <w:lang w:val="en-NZ"/>
        </w:rPr>
        <w:t>has a</w:t>
      </w:r>
      <w:r>
        <w:rPr>
          <w:lang w:val="en-NZ"/>
        </w:rPr>
        <w:t xml:space="preserve"> </w:t>
      </w:r>
      <w:r w:rsidRPr="00F036FF">
        <w:rPr>
          <w:lang w:val="en-NZ"/>
        </w:rPr>
        <w:t>substantial and significant impact on the public body’s ability to carry out its other operations,</w:t>
      </w:r>
      <w:r>
        <w:rPr>
          <w:lang w:val="en-NZ"/>
        </w:rPr>
        <w:t xml:space="preserve"> including </w:t>
      </w:r>
      <w:r w:rsidR="00A834DC">
        <w:rPr>
          <w:lang w:val="en-NZ"/>
        </w:rPr>
        <w:t xml:space="preserve">its ability to </w:t>
      </w:r>
      <w:r>
        <w:rPr>
          <w:lang w:val="en-NZ"/>
        </w:rPr>
        <w:t xml:space="preserve">respond to other access requests. </w:t>
      </w:r>
    </w:p>
    <w:p w14:paraId="05D3331B" w14:textId="21DB06B4" w:rsidR="00DB38AA" w:rsidRPr="00192E19" w:rsidRDefault="00EE6B06" w:rsidP="00161790">
      <w:pPr>
        <w:pStyle w:val="Heading2"/>
        <w:rPr>
          <w:b w:val="0"/>
          <w:color w:val="3C1F32" w:themeColor="accent1" w:themeShade="BF"/>
          <w:sz w:val="36"/>
          <w:szCs w:val="36"/>
          <w:lang w:val="en-NZ"/>
        </w:rPr>
      </w:pPr>
      <w:r w:rsidRPr="00192E19">
        <w:rPr>
          <w:b w:val="0"/>
          <w:color w:val="3C1F32" w:themeColor="accent1" w:themeShade="BF"/>
          <w:sz w:val="36"/>
          <w:szCs w:val="36"/>
          <w:lang w:val="en-NZ"/>
        </w:rPr>
        <w:t>Framework utilized by the Access and Privacy Officer</w:t>
      </w:r>
    </w:p>
    <w:p w14:paraId="1ADE1823" w14:textId="4AEA6571" w:rsidR="009B0C7A" w:rsidRDefault="009B0C7A" w:rsidP="00DB38AA">
      <w:pPr>
        <w:rPr>
          <w:lang w:val="en-NZ"/>
        </w:rPr>
      </w:pPr>
      <w:r w:rsidRPr="009B0C7A">
        <w:rPr>
          <w:lang w:val="en-NZ"/>
        </w:rPr>
        <w:t>The APO has developed a framework and methodology to exercise discretion in applying this provision. The framew</w:t>
      </w:r>
      <w:r w:rsidR="00694864">
        <w:rPr>
          <w:lang w:val="en-NZ"/>
        </w:rPr>
        <w:t xml:space="preserve">ork includes a number of factors </w:t>
      </w:r>
      <w:r w:rsidRPr="009B0C7A">
        <w:rPr>
          <w:lang w:val="en-NZ"/>
        </w:rPr>
        <w:t>to consider when determining whether research, compilation and examination of information required to process a request would unreasonably interfere with the public body’s operations.</w:t>
      </w:r>
    </w:p>
    <w:p w14:paraId="373B9CBD" w14:textId="16975CD6" w:rsidR="009B0C7A" w:rsidRDefault="009B0C7A" w:rsidP="00DB38AA">
      <w:pPr>
        <w:rPr>
          <w:lang w:val="en-NZ"/>
        </w:rPr>
      </w:pPr>
      <w:r>
        <w:rPr>
          <w:lang w:val="en-NZ"/>
        </w:rPr>
        <w:t>Factors:</w:t>
      </w:r>
    </w:p>
    <w:tbl>
      <w:tblPr>
        <w:tblStyle w:val="TableGrid"/>
        <w:tblW w:w="9297" w:type="dxa"/>
        <w:tblInd w:w="108" w:type="dxa"/>
        <w:tblLayout w:type="fixed"/>
        <w:tblLook w:val="0620" w:firstRow="1" w:lastRow="0" w:firstColumn="0" w:lastColumn="0" w:noHBand="1" w:noVBand="1"/>
      </w:tblPr>
      <w:tblGrid>
        <w:gridCol w:w="2694"/>
        <w:gridCol w:w="6603"/>
      </w:tblGrid>
      <w:tr w:rsidR="00DB38AA" w:rsidRPr="00DB38AA" w14:paraId="4698BA19" w14:textId="77777777" w:rsidTr="004508E1">
        <w:trPr>
          <w:cantSplit/>
        </w:trPr>
        <w:tc>
          <w:tcPr>
            <w:tcW w:w="2694" w:type="dxa"/>
            <w:shd w:val="clear" w:color="auto" w:fill="D3D3D3"/>
          </w:tcPr>
          <w:p w14:paraId="39806C81" w14:textId="40870F75" w:rsidR="00A834DC" w:rsidRDefault="00A834DC" w:rsidP="00C90EE7">
            <w:pPr>
              <w:tabs>
                <w:tab w:val="left" w:pos="1449"/>
              </w:tabs>
              <w:spacing w:line="259" w:lineRule="auto"/>
              <w:rPr>
                <w:b/>
                <w:lang w:val="en-NZ"/>
              </w:rPr>
            </w:pPr>
            <w:r>
              <w:rPr>
                <w:b/>
                <w:lang w:val="en-NZ"/>
              </w:rPr>
              <w:t>Quantity</w:t>
            </w:r>
            <w:r w:rsidR="009B0C7A">
              <w:rPr>
                <w:b/>
                <w:lang w:val="en-NZ"/>
              </w:rPr>
              <w:t xml:space="preserve"> -</w:t>
            </w:r>
          </w:p>
          <w:p w14:paraId="058BC826" w14:textId="77777777" w:rsidR="009B0C7A" w:rsidRDefault="009B0C7A" w:rsidP="00DB38AA">
            <w:pPr>
              <w:spacing w:line="259" w:lineRule="auto"/>
              <w:rPr>
                <w:b/>
                <w:lang w:val="en-NZ"/>
              </w:rPr>
            </w:pPr>
          </w:p>
          <w:p w14:paraId="47C7001E" w14:textId="1868BF9E" w:rsidR="00DB38AA" w:rsidRPr="00DB38AA" w:rsidRDefault="00DB38AA" w:rsidP="00DB38AA">
            <w:pPr>
              <w:spacing w:line="259" w:lineRule="auto"/>
              <w:rPr>
                <w:b/>
                <w:lang w:val="en-NZ"/>
              </w:rPr>
            </w:pPr>
            <w:r w:rsidRPr="00DB38AA">
              <w:rPr>
                <w:b/>
                <w:lang w:val="en-NZ"/>
              </w:rPr>
              <w:t>How much?</w:t>
            </w:r>
          </w:p>
        </w:tc>
        <w:tc>
          <w:tcPr>
            <w:tcW w:w="6603" w:type="dxa"/>
            <w:shd w:val="clear" w:color="auto" w:fill="auto"/>
          </w:tcPr>
          <w:p w14:paraId="385C58AA" w14:textId="0FD18C78" w:rsidR="00DB38AA" w:rsidRPr="00DB38AA" w:rsidRDefault="00EF46D5" w:rsidP="00DB38AA">
            <w:pPr>
              <w:pStyle w:val="ListParagraph"/>
              <w:numPr>
                <w:ilvl w:val="0"/>
                <w:numId w:val="5"/>
              </w:numPr>
              <w:rPr>
                <w:lang w:val="en-NZ"/>
              </w:rPr>
            </w:pPr>
            <w:r>
              <w:rPr>
                <w:lang w:val="en-NZ"/>
              </w:rPr>
              <w:t>Amount of</w:t>
            </w:r>
            <w:r w:rsidR="00DB38AA" w:rsidRPr="00DB38AA">
              <w:rPr>
                <w:lang w:val="en-NZ"/>
              </w:rPr>
              <w:t xml:space="preserve"> </w:t>
            </w:r>
            <w:r>
              <w:rPr>
                <w:lang w:val="en-NZ"/>
              </w:rPr>
              <w:t>information requested.</w:t>
            </w:r>
          </w:p>
          <w:p w14:paraId="3DBE3F8C" w14:textId="67DC390A" w:rsidR="00DB38AA" w:rsidRPr="003360E9" w:rsidRDefault="00EF46D5" w:rsidP="00EF46D5">
            <w:pPr>
              <w:pStyle w:val="ListParagraph"/>
              <w:numPr>
                <w:ilvl w:val="0"/>
                <w:numId w:val="5"/>
              </w:numPr>
              <w:rPr>
                <w:lang w:val="en-NZ"/>
              </w:rPr>
            </w:pPr>
            <w:r>
              <w:rPr>
                <w:lang w:val="en-NZ"/>
              </w:rPr>
              <w:t>Amount of information</w:t>
            </w:r>
            <w:r w:rsidR="00DB38AA" w:rsidRPr="00DB38AA">
              <w:rPr>
                <w:lang w:val="en-NZ"/>
              </w:rPr>
              <w:t xml:space="preserve"> to be searched through t</w:t>
            </w:r>
            <w:r>
              <w:rPr>
                <w:lang w:val="en-NZ"/>
              </w:rPr>
              <w:t>o find what has been requested?.</w:t>
            </w:r>
          </w:p>
        </w:tc>
      </w:tr>
      <w:tr w:rsidR="00DB38AA" w:rsidRPr="00DB38AA" w14:paraId="295E409E" w14:textId="77777777" w:rsidTr="004508E1">
        <w:trPr>
          <w:cantSplit/>
        </w:trPr>
        <w:tc>
          <w:tcPr>
            <w:tcW w:w="2694" w:type="dxa"/>
            <w:shd w:val="clear" w:color="auto" w:fill="D3D3D3"/>
          </w:tcPr>
          <w:p w14:paraId="48B8D99B" w14:textId="79A32F99" w:rsidR="00A834DC" w:rsidRDefault="00A834DC" w:rsidP="00DB38AA">
            <w:pPr>
              <w:spacing w:line="259" w:lineRule="auto"/>
              <w:rPr>
                <w:b/>
                <w:lang w:val="en-NZ"/>
              </w:rPr>
            </w:pPr>
            <w:r>
              <w:rPr>
                <w:b/>
                <w:lang w:val="en-NZ"/>
              </w:rPr>
              <w:lastRenderedPageBreak/>
              <w:t>Time</w:t>
            </w:r>
            <w:r w:rsidR="009B0C7A">
              <w:rPr>
                <w:b/>
                <w:lang w:val="en-NZ"/>
              </w:rPr>
              <w:t xml:space="preserve"> – </w:t>
            </w:r>
          </w:p>
          <w:p w14:paraId="44A090EB" w14:textId="77777777" w:rsidR="009B0C7A" w:rsidRDefault="009B0C7A" w:rsidP="00DB38AA">
            <w:pPr>
              <w:spacing w:line="259" w:lineRule="auto"/>
              <w:rPr>
                <w:b/>
                <w:lang w:val="en-NZ"/>
              </w:rPr>
            </w:pPr>
          </w:p>
          <w:p w14:paraId="6C281B8F" w14:textId="505ADC0E" w:rsidR="00DB38AA" w:rsidRPr="00DB38AA" w:rsidRDefault="00DB38AA" w:rsidP="00DB38AA">
            <w:pPr>
              <w:spacing w:line="259" w:lineRule="auto"/>
              <w:rPr>
                <w:b/>
                <w:lang w:val="en-NZ"/>
              </w:rPr>
            </w:pPr>
            <w:r w:rsidRPr="00DB38AA">
              <w:rPr>
                <w:b/>
                <w:lang w:val="en-NZ"/>
              </w:rPr>
              <w:t>How long?</w:t>
            </w:r>
          </w:p>
        </w:tc>
        <w:tc>
          <w:tcPr>
            <w:tcW w:w="6603" w:type="dxa"/>
            <w:shd w:val="clear" w:color="auto" w:fill="auto"/>
          </w:tcPr>
          <w:p w14:paraId="59B62BEB" w14:textId="01B068A7" w:rsidR="00DB38AA" w:rsidRPr="00DB38AA" w:rsidRDefault="00EF46D5" w:rsidP="00DB38AA">
            <w:pPr>
              <w:pStyle w:val="ListParagraph"/>
              <w:numPr>
                <w:ilvl w:val="0"/>
                <w:numId w:val="6"/>
              </w:numPr>
              <w:rPr>
                <w:lang w:val="en-NZ"/>
              </w:rPr>
            </w:pPr>
            <w:r>
              <w:rPr>
                <w:lang w:val="en-NZ"/>
              </w:rPr>
              <w:t>Length of time</w:t>
            </w:r>
            <w:r w:rsidR="00DB38AA" w:rsidRPr="00DB38AA">
              <w:rPr>
                <w:lang w:val="en-NZ"/>
              </w:rPr>
              <w:t xml:space="preserve"> it </w:t>
            </w:r>
            <w:r>
              <w:rPr>
                <w:lang w:val="en-NZ"/>
              </w:rPr>
              <w:t xml:space="preserve">will </w:t>
            </w:r>
            <w:r w:rsidR="00DB38AA" w:rsidRPr="00DB38AA">
              <w:rPr>
                <w:lang w:val="en-NZ"/>
              </w:rPr>
              <w:t>take to find the in</w:t>
            </w:r>
            <w:r>
              <w:rPr>
                <w:lang w:val="en-NZ"/>
              </w:rPr>
              <w:t>formation and bring it together.</w:t>
            </w:r>
          </w:p>
          <w:p w14:paraId="20E91884" w14:textId="1C5B9B2C" w:rsidR="00DB38AA" w:rsidRPr="00DB38AA" w:rsidRDefault="00DB38AA" w:rsidP="00D25FDA">
            <w:pPr>
              <w:pStyle w:val="ListParagraph"/>
              <w:numPr>
                <w:ilvl w:val="1"/>
                <w:numId w:val="6"/>
              </w:numPr>
              <w:rPr>
                <w:lang w:val="en-NZ"/>
              </w:rPr>
            </w:pPr>
            <w:r w:rsidRPr="00DB38AA">
              <w:rPr>
                <w:lang w:val="en-NZ"/>
              </w:rPr>
              <w:t xml:space="preserve">Carrying out a sample exercise will enable the </w:t>
            </w:r>
            <w:r w:rsidR="003360E9">
              <w:rPr>
                <w:lang w:val="en-NZ"/>
              </w:rPr>
              <w:t>public body</w:t>
            </w:r>
            <w:r w:rsidRPr="00DB38AA">
              <w:rPr>
                <w:lang w:val="en-NZ"/>
              </w:rPr>
              <w:t xml:space="preserve"> to make a reasonable estimate of how long it will take to complete the required tasks.  </w:t>
            </w:r>
          </w:p>
        </w:tc>
      </w:tr>
      <w:tr w:rsidR="00DB38AA" w:rsidRPr="00DB38AA" w14:paraId="50419E72" w14:textId="77777777" w:rsidTr="004508E1">
        <w:trPr>
          <w:cantSplit/>
        </w:trPr>
        <w:tc>
          <w:tcPr>
            <w:tcW w:w="2694" w:type="dxa"/>
            <w:shd w:val="clear" w:color="auto" w:fill="D3D3D3"/>
          </w:tcPr>
          <w:p w14:paraId="23A9052F" w14:textId="13599CEB" w:rsidR="00273BBF" w:rsidRDefault="00273BBF" w:rsidP="00DB38AA">
            <w:pPr>
              <w:spacing w:line="259" w:lineRule="auto"/>
              <w:rPr>
                <w:b/>
                <w:lang w:val="en-NZ"/>
              </w:rPr>
            </w:pPr>
            <w:r>
              <w:rPr>
                <w:b/>
                <w:lang w:val="en-NZ"/>
              </w:rPr>
              <w:t>Capacity</w:t>
            </w:r>
            <w:r w:rsidR="00694864">
              <w:rPr>
                <w:b/>
                <w:lang w:val="en-NZ"/>
              </w:rPr>
              <w:t xml:space="preserve"> – </w:t>
            </w:r>
          </w:p>
          <w:p w14:paraId="0A71BB9F" w14:textId="77777777" w:rsidR="00694864" w:rsidRDefault="00694864" w:rsidP="00DB38AA">
            <w:pPr>
              <w:spacing w:line="259" w:lineRule="auto"/>
              <w:rPr>
                <w:b/>
                <w:lang w:val="en-NZ"/>
              </w:rPr>
            </w:pPr>
          </w:p>
          <w:p w14:paraId="1FE1BDE0" w14:textId="475BB12E" w:rsidR="00DB38AA" w:rsidRPr="00DB38AA" w:rsidRDefault="00DB38AA" w:rsidP="00DB38AA">
            <w:pPr>
              <w:spacing w:line="259" w:lineRule="auto"/>
              <w:rPr>
                <w:b/>
                <w:lang w:val="en-NZ"/>
              </w:rPr>
            </w:pPr>
            <w:r w:rsidRPr="00DB38AA">
              <w:rPr>
                <w:b/>
                <w:lang w:val="en-NZ"/>
              </w:rPr>
              <w:t>Who’ll do it?</w:t>
            </w:r>
          </w:p>
        </w:tc>
        <w:tc>
          <w:tcPr>
            <w:tcW w:w="6603" w:type="dxa"/>
            <w:shd w:val="clear" w:color="auto" w:fill="auto"/>
          </w:tcPr>
          <w:p w14:paraId="0D535070" w14:textId="4F8CF9EC" w:rsidR="00DB38AA" w:rsidRPr="004E2D6B" w:rsidRDefault="00EF46D5" w:rsidP="004E2D6B">
            <w:pPr>
              <w:pStyle w:val="ListParagraph"/>
              <w:numPr>
                <w:ilvl w:val="0"/>
                <w:numId w:val="7"/>
              </w:numPr>
              <w:rPr>
                <w:lang w:val="en-NZ"/>
              </w:rPr>
            </w:pPr>
            <w:r>
              <w:rPr>
                <w:lang w:val="en-NZ"/>
              </w:rPr>
              <w:t>R</w:t>
            </w:r>
            <w:r w:rsidR="00DB38AA" w:rsidRPr="00DB38AA">
              <w:rPr>
                <w:lang w:val="en-NZ"/>
              </w:rPr>
              <w:t>esource</w:t>
            </w:r>
            <w:r w:rsidR="000D45CE">
              <w:rPr>
                <w:lang w:val="en-NZ"/>
              </w:rPr>
              <w:t xml:space="preserve">s </w:t>
            </w:r>
            <w:r>
              <w:rPr>
                <w:lang w:val="en-NZ"/>
              </w:rPr>
              <w:t>available to do this work.</w:t>
            </w:r>
          </w:p>
        </w:tc>
      </w:tr>
      <w:tr w:rsidR="00DB38AA" w:rsidRPr="00DB38AA" w14:paraId="42D7C74C" w14:textId="77777777" w:rsidTr="004508E1">
        <w:trPr>
          <w:cantSplit/>
        </w:trPr>
        <w:tc>
          <w:tcPr>
            <w:tcW w:w="2694" w:type="dxa"/>
            <w:shd w:val="clear" w:color="auto" w:fill="D3D3D3"/>
          </w:tcPr>
          <w:p w14:paraId="2A35E84B" w14:textId="2640C5F9" w:rsidR="00694864" w:rsidRDefault="00694864" w:rsidP="00DB38AA">
            <w:pPr>
              <w:spacing w:line="259" w:lineRule="auto"/>
              <w:rPr>
                <w:b/>
                <w:lang w:val="en-NZ"/>
              </w:rPr>
            </w:pPr>
            <w:r>
              <w:rPr>
                <w:b/>
                <w:lang w:val="en-NZ"/>
              </w:rPr>
              <w:t>Effect –</w:t>
            </w:r>
          </w:p>
          <w:p w14:paraId="1C620114" w14:textId="77777777" w:rsidR="00694864" w:rsidRDefault="00694864" w:rsidP="00DB38AA">
            <w:pPr>
              <w:spacing w:line="259" w:lineRule="auto"/>
              <w:rPr>
                <w:b/>
                <w:lang w:val="en-NZ"/>
              </w:rPr>
            </w:pPr>
          </w:p>
          <w:p w14:paraId="00685961" w14:textId="28DFBBD7" w:rsidR="00DB38AA" w:rsidRPr="00DB38AA" w:rsidRDefault="00DB38AA" w:rsidP="00DB38AA">
            <w:pPr>
              <w:spacing w:line="259" w:lineRule="auto"/>
              <w:rPr>
                <w:b/>
                <w:lang w:val="en-NZ"/>
              </w:rPr>
            </w:pPr>
            <w:r w:rsidRPr="00DB38AA">
              <w:rPr>
                <w:b/>
                <w:lang w:val="en-NZ"/>
              </w:rPr>
              <w:t>What’s the impact?</w:t>
            </w:r>
          </w:p>
        </w:tc>
        <w:tc>
          <w:tcPr>
            <w:tcW w:w="6603" w:type="dxa"/>
            <w:shd w:val="clear" w:color="auto" w:fill="auto"/>
          </w:tcPr>
          <w:p w14:paraId="3E39892C" w14:textId="3AA43727" w:rsidR="00DB38AA" w:rsidRPr="00DB38AA" w:rsidRDefault="00DB38AA" w:rsidP="00DB38AA">
            <w:pPr>
              <w:pStyle w:val="ListParagraph"/>
              <w:numPr>
                <w:ilvl w:val="0"/>
                <w:numId w:val="8"/>
              </w:numPr>
              <w:rPr>
                <w:lang w:val="en-NZ"/>
              </w:rPr>
            </w:pPr>
            <w:r w:rsidRPr="00DB38AA">
              <w:rPr>
                <w:lang w:val="en-NZ"/>
              </w:rPr>
              <w:t xml:space="preserve">How would the diversion of these resources to complete the required tasks impact on the </w:t>
            </w:r>
            <w:r w:rsidR="003360E9">
              <w:rPr>
                <w:lang w:val="en-NZ"/>
              </w:rPr>
              <w:t>public body</w:t>
            </w:r>
            <w:r w:rsidRPr="00DB38AA">
              <w:rPr>
                <w:lang w:val="en-NZ"/>
              </w:rPr>
              <w:t xml:space="preserve">’s ability to carry out its other operations? </w:t>
            </w:r>
          </w:p>
          <w:p w14:paraId="405039E6" w14:textId="77777777" w:rsidR="00DB38AA" w:rsidRPr="00DB38AA" w:rsidRDefault="00DB38AA" w:rsidP="00DB38AA">
            <w:pPr>
              <w:pStyle w:val="ListParagraph"/>
              <w:numPr>
                <w:ilvl w:val="0"/>
                <w:numId w:val="8"/>
              </w:numPr>
              <w:rPr>
                <w:lang w:val="en-NZ"/>
              </w:rPr>
            </w:pPr>
            <w:r w:rsidRPr="00DB38AA">
              <w:rPr>
                <w:lang w:val="en-NZ"/>
              </w:rPr>
              <w:t>Relevant considerations include:</w:t>
            </w:r>
          </w:p>
          <w:p w14:paraId="60C9F768" w14:textId="06162B30" w:rsidR="00DB38AA" w:rsidRPr="00DB38AA" w:rsidRDefault="00DB38AA" w:rsidP="003360E9">
            <w:pPr>
              <w:pStyle w:val="ListParagraph"/>
              <w:numPr>
                <w:ilvl w:val="1"/>
                <w:numId w:val="8"/>
              </w:numPr>
              <w:tabs>
                <w:tab w:val="num" w:pos="714"/>
              </w:tabs>
              <w:rPr>
                <w:lang w:val="en-NZ"/>
              </w:rPr>
            </w:pPr>
            <w:r w:rsidRPr="00DB38AA">
              <w:rPr>
                <w:lang w:val="en-NZ"/>
              </w:rPr>
              <w:t xml:space="preserve">the nature and size of the </w:t>
            </w:r>
            <w:r w:rsidR="003360E9">
              <w:rPr>
                <w:lang w:val="en-NZ"/>
              </w:rPr>
              <w:t>public body</w:t>
            </w:r>
            <w:r w:rsidRPr="00DB38AA">
              <w:rPr>
                <w:lang w:val="en-NZ"/>
              </w:rPr>
              <w:t>;</w:t>
            </w:r>
          </w:p>
          <w:p w14:paraId="3F253C3B" w14:textId="277AE77F" w:rsidR="00DB38AA" w:rsidRPr="00DB38AA" w:rsidRDefault="00DB38AA" w:rsidP="003360E9">
            <w:pPr>
              <w:pStyle w:val="ListParagraph"/>
              <w:numPr>
                <w:ilvl w:val="1"/>
                <w:numId w:val="8"/>
              </w:numPr>
              <w:tabs>
                <w:tab w:val="num" w:pos="714"/>
              </w:tabs>
              <w:rPr>
                <w:lang w:val="en-NZ"/>
              </w:rPr>
            </w:pPr>
            <w:r w:rsidRPr="00DB38AA">
              <w:rPr>
                <w:lang w:val="en-NZ"/>
              </w:rPr>
              <w:t xml:space="preserve">the resources available to process </w:t>
            </w:r>
            <w:r w:rsidR="003360E9">
              <w:rPr>
                <w:lang w:val="en-NZ"/>
              </w:rPr>
              <w:t>access</w:t>
            </w:r>
            <w:r w:rsidRPr="00DB38AA">
              <w:rPr>
                <w:lang w:val="en-NZ"/>
              </w:rPr>
              <w:t xml:space="preserve"> requests;</w:t>
            </w:r>
          </w:p>
          <w:p w14:paraId="1284690C" w14:textId="4FF810B2" w:rsidR="00DB38AA" w:rsidRPr="00DB38AA" w:rsidRDefault="00DB38AA" w:rsidP="003360E9">
            <w:pPr>
              <w:pStyle w:val="ListParagraph"/>
              <w:numPr>
                <w:ilvl w:val="1"/>
                <w:numId w:val="8"/>
              </w:numPr>
              <w:tabs>
                <w:tab w:val="num" w:pos="714"/>
              </w:tabs>
              <w:rPr>
                <w:lang w:val="en-NZ"/>
              </w:rPr>
            </w:pPr>
            <w:r w:rsidRPr="00DB38AA">
              <w:rPr>
                <w:lang w:val="en-NZ"/>
              </w:rPr>
              <w:t xml:space="preserve">the number of other </w:t>
            </w:r>
            <w:r w:rsidR="003360E9">
              <w:rPr>
                <w:lang w:val="en-NZ"/>
              </w:rPr>
              <w:t>access</w:t>
            </w:r>
            <w:r w:rsidRPr="00DB38AA">
              <w:rPr>
                <w:lang w:val="en-NZ"/>
              </w:rPr>
              <w:t xml:space="preserve"> requests the </w:t>
            </w:r>
            <w:r w:rsidR="003360E9">
              <w:rPr>
                <w:lang w:val="en-NZ"/>
              </w:rPr>
              <w:t>public body</w:t>
            </w:r>
            <w:r w:rsidRPr="00DB38AA">
              <w:rPr>
                <w:lang w:val="en-NZ"/>
              </w:rPr>
              <w:t xml:space="preserve"> has to </w:t>
            </w:r>
            <w:r w:rsidR="00291547">
              <w:rPr>
                <w:lang w:val="en-NZ"/>
              </w:rPr>
              <w:t>respond to</w:t>
            </w:r>
            <w:r w:rsidRPr="00DB38AA">
              <w:rPr>
                <w:lang w:val="en-NZ"/>
              </w:rPr>
              <w:t xml:space="preserve">; </w:t>
            </w:r>
          </w:p>
          <w:p w14:paraId="7CBE9B04" w14:textId="77777777" w:rsidR="00DB38AA" w:rsidRPr="00DB38AA" w:rsidRDefault="00DB38AA" w:rsidP="003360E9">
            <w:pPr>
              <w:pStyle w:val="ListParagraph"/>
              <w:numPr>
                <w:ilvl w:val="1"/>
                <w:numId w:val="8"/>
              </w:numPr>
              <w:tabs>
                <w:tab w:val="num" w:pos="714"/>
              </w:tabs>
              <w:rPr>
                <w:lang w:val="en-NZ"/>
              </w:rPr>
            </w:pPr>
            <w:r w:rsidRPr="00DB38AA">
              <w:rPr>
                <w:lang w:val="en-NZ"/>
              </w:rPr>
              <w:t>the number of people capable of processing the request; and</w:t>
            </w:r>
          </w:p>
          <w:p w14:paraId="374DE85B" w14:textId="77777777" w:rsidR="00DB38AA" w:rsidRPr="00DB38AA" w:rsidRDefault="00DB38AA" w:rsidP="003360E9">
            <w:pPr>
              <w:pStyle w:val="ListParagraph"/>
              <w:numPr>
                <w:ilvl w:val="1"/>
                <w:numId w:val="8"/>
              </w:numPr>
              <w:tabs>
                <w:tab w:val="num" w:pos="714"/>
              </w:tabs>
              <w:rPr>
                <w:lang w:val="en-NZ"/>
              </w:rPr>
            </w:pPr>
            <w:r w:rsidRPr="00DB38AA">
              <w:rPr>
                <w:lang w:val="en-NZ"/>
              </w:rPr>
              <w:t xml:space="preserve">the other responsibilities of those people. </w:t>
            </w:r>
          </w:p>
        </w:tc>
      </w:tr>
      <w:tr w:rsidR="004E2D6B" w:rsidRPr="00DB38AA" w14:paraId="6CF12B2C" w14:textId="77777777" w:rsidTr="004508E1">
        <w:trPr>
          <w:cantSplit/>
        </w:trPr>
        <w:tc>
          <w:tcPr>
            <w:tcW w:w="2694" w:type="dxa"/>
            <w:shd w:val="clear" w:color="auto" w:fill="D3D3D3"/>
          </w:tcPr>
          <w:p w14:paraId="7F6499E4" w14:textId="71700970" w:rsidR="004E2D6B" w:rsidRPr="00DB38AA" w:rsidRDefault="004E2D6B" w:rsidP="00DB38AA">
            <w:pPr>
              <w:rPr>
                <w:b/>
                <w:lang w:val="en-NZ"/>
              </w:rPr>
            </w:pPr>
            <w:r>
              <w:rPr>
                <w:b/>
                <w:lang w:val="en-NZ"/>
              </w:rPr>
              <w:t>Other factors</w:t>
            </w:r>
          </w:p>
        </w:tc>
        <w:tc>
          <w:tcPr>
            <w:tcW w:w="6603" w:type="dxa"/>
            <w:shd w:val="clear" w:color="auto" w:fill="auto"/>
          </w:tcPr>
          <w:p w14:paraId="03589949" w14:textId="2DD1AEE7" w:rsidR="00BB17A1" w:rsidRDefault="00BB17A1" w:rsidP="00BB17A1">
            <w:pPr>
              <w:pStyle w:val="ListParagraph"/>
              <w:numPr>
                <w:ilvl w:val="0"/>
                <w:numId w:val="8"/>
              </w:numPr>
            </w:pPr>
            <w:r>
              <w:t xml:space="preserve">The average monthly page count the public body can reasonably administer. </w:t>
            </w:r>
          </w:p>
          <w:p w14:paraId="602FB074" w14:textId="3C584345" w:rsidR="00EF46D5" w:rsidRDefault="001F13C2" w:rsidP="00BB17A1">
            <w:pPr>
              <w:pStyle w:val="ListParagraph"/>
              <w:numPr>
                <w:ilvl w:val="0"/>
                <w:numId w:val="8"/>
              </w:numPr>
            </w:pPr>
            <w:r>
              <w:t>The number of active access</w:t>
            </w:r>
            <w:r w:rsidR="00EF46D5">
              <w:t xml:space="preserve"> requests the public body is currently processing.</w:t>
            </w:r>
          </w:p>
          <w:p w14:paraId="17024942" w14:textId="2D21077F" w:rsidR="00EF46D5" w:rsidRDefault="001F13C2" w:rsidP="00BB17A1">
            <w:pPr>
              <w:pStyle w:val="ListParagraph"/>
              <w:numPr>
                <w:ilvl w:val="0"/>
                <w:numId w:val="8"/>
              </w:numPr>
            </w:pPr>
            <w:r>
              <w:t>The number of access</w:t>
            </w:r>
            <w:r w:rsidR="00EF46D5">
              <w:t xml:space="preserve"> requests the public body has closed/completed from the time the request has been submitted.</w:t>
            </w:r>
          </w:p>
          <w:p w14:paraId="5170BC35" w14:textId="0B2820C2" w:rsidR="004E2D6B" w:rsidRPr="004E2D6B" w:rsidRDefault="00EF46D5" w:rsidP="00EF46D5">
            <w:pPr>
              <w:pStyle w:val="ListParagraph"/>
              <w:numPr>
                <w:ilvl w:val="0"/>
                <w:numId w:val="8"/>
              </w:numPr>
            </w:pPr>
            <w:r>
              <w:t>Unplanned staffing issues.</w:t>
            </w:r>
            <w:r w:rsidR="004E2D6B" w:rsidRPr="004E2D6B">
              <w:t xml:space="preserve"> For example, unexpected leave of a </w:t>
            </w:r>
            <w:r w:rsidR="00694864">
              <w:t>Designated Access Officer</w:t>
            </w:r>
            <w:r>
              <w:t xml:space="preserve"> or</w:t>
            </w:r>
            <w:r w:rsidR="004E2D6B" w:rsidRPr="004E2D6B">
              <w:t xml:space="preserve"> an unusual</w:t>
            </w:r>
            <w:r>
              <w:t>ly high number of new under trained staff.</w:t>
            </w:r>
          </w:p>
        </w:tc>
      </w:tr>
      <w:tr w:rsidR="004E2D6B" w:rsidRPr="00DB38AA" w14:paraId="64B67924" w14:textId="77777777" w:rsidTr="004508E1">
        <w:trPr>
          <w:cantSplit/>
        </w:trPr>
        <w:tc>
          <w:tcPr>
            <w:tcW w:w="2694" w:type="dxa"/>
            <w:shd w:val="clear" w:color="auto" w:fill="D3D3D3"/>
          </w:tcPr>
          <w:p w14:paraId="56E1E58F" w14:textId="08F3D5F0" w:rsidR="004E2D6B" w:rsidRDefault="004E2D6B" w:rsidP="00A20992">
            <w:pPr>
              <w:rPr>
                <w:b/>
                <w:lang w:val="en-NZ"/>
              </w:rPr>
            </w:pPr>
            <w:r>
              <w:rPr>
                <w:b/>
                <w:lang w:val="en-NZ"/>
              </w:rPr>
              <w:t xml:space="preserve">Invalid </w:t>
            </w:r>
            <w:r w:rsidR="00A20992">
              <w:rPr>
                <w:b/>
                <w:lang w:val="en-NZ"/>
              </w:rPr>
              <w:t>Factors</w:t>
            </w:r>
          </w:p>
        </w:tc>
        <w:tc>
          <w:tcPr>
            <w:tcW w:w="6603" w:type="dxa"/>
            <w:shd w:val="clear" w:color="auto" w:fill="auto"/>
          </w:tcPr>
          <w:p w14:paraId="39F88714" w14:textId="77777777" w:rsidR="004E2D6B" w:rsidRDefault="004E2D6B" w:rsidP="004E2D6B">
            <w:pPr>
              <w:pStyle w:val="ListParagraph"/>
              <w:numPr>
                <w:ilvl w:val="0"/>
                <w:numId w:val="8"/>
              </w:numPr>
            </w:pPr>
            <w:r>
              <w:t>The operation has not been allocated sufficient resources (long term or systemic problems).</w:t>
            </w:r>
          </w:p>
          <w:p w14:paraId="0E62F03F" w14:textId="77777777" w:rsidR="004E2D6B" w:rsidRDefault="004E2D6B" w:rsidP="004E2D6B">
            <w:pPr>
              <w:pStyle w:val="ListParagraph"/>
              <w:numPr>
                <w:ilvl w:val="0"/>
                <w:numId w:val="8"/>
              </w:numPr>
            </w:pPr>
            <w:r>
              <w:t>Vacations.</w:t>
            </w:r>
          </w:p>
          <w:p w14:paraId="04A75C89" w14:textId="77777777" w:rsidR="004E2D6B" w:rsidRDefault="004E2D6B" w:rsidP="004E2D6B">
            <w:pPr>
              <w:pStyle w:val="ListParagraph"/>
              <w:numPr>
                <w:ilvl w:val="0"/>
                <w:numId w:val="8"/>
              </w:numPr>
            </w:pPr>
            <w:r>
              <w:t>Office processes (e.g., sign-off).</w:t>
            </w:r>
          </w:p>
          <w:p w14:paraId="2395975D" w14:textId="77777777" w:rsidR="004E2D6B" w:rsidRDefault="004E2D6B" w:rsidP="004E2D6B">
            <w:pPr>
              <w:pStyle w:val="ListParagraph"/>
              <w:numPr>
                <w:ilvl w:val="0"/>
                <w:numId w:val="8"/>
              </w:numPr>
            </w:pPr>
            <w:r>
              <w:t>Personal commitments.</w:t>
            </w:r>
          </w:p>
          <w:p w14:paraId="333072F2" w14:textId="2838E068" w:rsidR="004E2D6B" w:rsidRPr="004E2D6B" w:rsidRDefault="004E2D6B" w:rsidP="004E2D6B">
            <w:pPr>
              <w:pStyle w:val="ListParagraph"/>
              <w:numPr>
                <w:ilvl w:val="0"/>
                <w:numId w:val="8"/>
              </w:numPr>
            </w:pPr>
            <w:r>
              <w:t>Pre-planned events (e.g., retirements).</w:t>
            </w:r>
          </w:p>
        </w:tc>
      </w:tr>
    </w:tbl>
    <w:p w14:paraId="52BAD090" w14:textId="77777777" w:rsidR="00DB38AA" w:rsidRPr="00DB38AA" w:rsidRDefault="00DB38AA" w:rsidP="00DB38AA">
      <w:pPr>
        <w:rPr>
          <w:lang w:val="en-NZ"/>
        </w:rPr>
      </w:pPr>
    </w:p>
    <w:p w14:paraId="438E31A9" w14:textId="499BFD97" w:rsidR="00806E80" w:rsidRPr="00192E19" w:rsidRDefault="00806E80" w:rsidP="004D5160">
      <w:pPr>
        <w:pStyle w:val="Heading2"/>
        <w:rPr>
          <w:b w:val="0"/>
          <w:color w:val="3C1F32" w:themeColor="accent1" w:themeShade="BF"/>
          <w:sz w:val="36"/>
          <w:szCs w:val="36"/>
        </w:rPr>
      </w:pPr>
      <w:r w:rsidRPr="00192E19">
        <w:rPr>
          <w:b w:val="0"/>
          <w:color w:val="3C1F32" w:themeColor="accent1" w:themeShade="BF"/>
          <w:sz w:val="36"/>
          <w:szCs w:val="36"/>
        </w:rPr>
        <w:t xml:space="preserve">Methodology applied </w:t>
      </w:r>
      <w:r w:rsidRPr="00192E19">
        <w:rPr>
          <w:b w:val="0"/>
          <w:color w:val="3C1F32" w:themeColor="accent1" w:themeShade="BF"/>
          <w:sz w:val="36"/>
          <w:szCs w:val="36"/>
          <w:lang w:val="en-NZ"/>
        </w:rPr>
        <w:t>by the Access and Privacy Officer</w:t>
      </w:r>
    </w:p>
    <w:p w14:paraId="6F232630" w14:textId="7A24F150" w:rsidR="00E5486F" w:rsidRDefault="00E5486F" w:rsidP="00806E80">
      <w:r w:rsidRPr="00E5486F">
        <w:t xml:space="preserve">A methodology for further analysis is applied to the </w:t>
      </w:r>
      <w:r>
        <w:t xml:space="preserve">valid </w:t>
      </w:r>
      <w:r w:rsidRPr="00E5486F">
        <w:t>factors to ensure fair and consistent application of this provision.</w:t>
      </w:r>
    </w:p>
    <w:p w14:paraId="764A7DC0" w14:textId="6905E54B" w:rsidR="004D5160" w:rsidRDefault="004D5160" w:rsidP="004D5160">
      <w:pPr>
        <w:pStyle w:val="Heading4"/>
      </w:pPr>
      <w:r>
        <w:lastRenderedPageBreak/>
        <w:t>The amount of responsive information to the request</w:t>
      </w:r>
    </w:p>
    <w:p w14:paraId="3C273BF5" w14:textId="77777777" w:rsidR="00583D80" w:rsidRDefault="00806E80" w:rsidP="00583D80">
      <w:r>
        <w:t xml:space="preserve">A request that is </w:t>
      </w:r>
      <w:r w:rsidR="00C572EB" w:rsidRPr="00583D80">
        <w:rPr>
          <w:b/>
        </w:rPr>
        <w:t>650</w:t>
      </w:r>
      <w:r w:rsidRPr="00583D80">
        <w:rPr>
          <w:b/>
        </w:rPr>
        <w:t xml:space="preserve"> or more pages </w:t>
      </w:r>
      <w:r>
        <w:t>is used as a threshold to measure what a public body should re</w:t>
      </w:r>
      <w:r w:rsidR="004D5160">
        <w:t xml:space="preserve">asonably be able to respond to.  </w:t>
      </w:r>
    </w:p>
    <w:p w14:paraId="728AEF9E" w14:textId="77777777" w:rsidR="00EF46D5" w:rsidRPr="004E2438" w:rsidRDefault="004D5160" w:rsidP="00583D80">
      <w:r>
        <w:t xml:space="preserve">Ideally the public body will provide a page count of the number of pages of responsive records.  </w:t>
      </w:r>
      <w:r w:rsidRPr="004E2438">
        <w:t xml:space="preserve">Rare </w:t>
      </w:r>
      <w:r w:rsidR="00583D80" w:rsidRPr="004E2438">
        <w:t>exceptions may be considered if</w:t>
      </w:r>
      <w:r w:rsidR="00EF46D5" w:rsidRPr="004E2438">
        <w:t>:</w:t>
      </w:r>
    </w:p>
    <w:p w14:paraId="62925EDE" w14:textId="04E6CDCF" w:rsidR="00583D80" w:rsidRPr="004E2438" w:rsidRDefault="00EF46D5" w:rsidP="00EF46D5">
      <w:pPr>
        <w:pStyle w:val="ListParagraph"/>
        <w:numPr>
          <w:ilvl w:val="0"/>
          <w:numId w:val="14"/>
        </w:numPr>
      </w:pPr>
      <w:r w:rsidRPr="004E2438">
        <w:t>A</w:t>
      </w:r>
      <w:r w:rsidR="004D5160" w:rsidRPr="004E2438">
        <w:t xml:space="preserve"> large volume of pages m</w:t>
      </w:r>
      <w:r w:rsidR="004C0FC2" w:rsidRPr="004E2438">
        <w:t>u</w:t>
      </w:r>
      <w:r w:rsidR="004D5160" w:rsidRPr="004E2438">
        <w:t>st be searched manually to find responsive records.</w:t>
      </w:r>
      <w:r w:rsidR="00583D80" w:rsidRPr="004E2438">
        <w:t xml:space="preserve"> </w:t>
      </w:r>
      <w:r w:rsidR="004D5160" w:rsidRPr="004E2438">
        <w:t>In this instance the number of pages that must be searched</w:t>
      </w:r>
      <w:r w:rsidR="00583D80" w:rsidRPr="004E2438">
        <w:t xml:space="preserve"> rather than the number of pages responsive to the request may be considered.</w:t>
      </w:r>
    </w:p>
    <w:p w14:paraId="112C8CA3" w14:textId="77777777" w:rsidR="001F13C2" w:rsidRPr="004E2438" w:rsidRDefault="00EF46D5" w:rsidP="006A2360">
      <w:pPr>
        <w:pStyle w:val="ListParagraph"/>
        <w:numPr>
          <w:ilvl w:val="0"/>
          <w:numId w:val="14"/>
        </w:numPr>
      </w:pPr>
      <w:r w:rsidRPr="004E2438">
        <w:t>Search, retrieval or examination is complicate</w:t>
      </w:r>
      <w:r w:rsidR="00C51764" w:rsidRPr="004E2438">
        <w:t>d for a reason that does not relate</w:t>
      </w:r>
      <w:r w:rsidR="001F13C2" w:rsidRPr="004E2438">
        <w:t xml:space="preserve"> to poor records management</w:t>
      </w:r>
      <w:r w:rsidR="00C51764" w:rsidRPr="004E2438">
        <w:t xml:space="preserve"> or </w:t>
      </w:r>
      <w:r w:rsidR="001F13C2" w:rsidRPr="004E2438">
        <w:t xml:space="preserve">program </w:t>
      </w:r>
      <w:r w:rsidR="00C51764" w:rsidRPr="004E2438">
        <w:t>under resourcing.</w:t>
      </w:r>
      <w:r w:rsidRPr="004E2438">
        <w:t xml:space="preserve"> In this instance a sample may be used to deter</w:t>
      </w:r>
      <w:r w:rsidR="00C51764" w:rsidRPr="004E2438">
        <w:t xml:space="preserve">mine the time needed. </w:t>
      </w:r>
    </w:p>
    <w:p w14:paraId="55D860C9" w14:textId="7316436D" w:rsidR="00161790" w:rsidRDefault="00E01649" w:rsidP="00161790">
      <w:pPr>
        <w:pStyle w:val="NoSpacing"/>
      </w:pPr>
      <w:r>
        <w:rPr>
          <w:rStyle w:val="Heading4Char"/>
        </w:rPr>
        <w:t xml:space="preserve">The number of </w:t>
      </w:r>
      <w:r w:rsidR="00E5486F" w:rsidRPr="00583D80">
        <w:rPr>
          <w:rStyle w:val="Heading4Char"/>
        </w:rPr>
        <w:t>active</w:t>
      </w:r>
      <w:r w:rsidR="00806E80" w:rsidRPr="00583D80">
        <w:rPr>
          <w:rStyle w:val="Heading4Char"/>
        </w:rPr>
        <w:t xml:space="preserve"> access requests</w:t>
      </w:r>
    </w:p>
    <w:p w14:paraId="1F3CC7E3" w14:textId="77777777" w:rsidR="00E01649" w:rsidRDefault="00583D80" w:rsidP="00161790">
      <w:pPr>
        <w:pStyle w:val="NoSpacing"/>
      </w:pPr>
      <w:r>
        <w:t>This will determine if the public body receives extension.  The public body should be resourced to pro</w:t>
      </w:r>
      <w:r w:rsidR="001F13C2">
        <w:t>cess the average number of access</w:t>
      </w:r>
      <w:r>
        <w:t xml:space="preserve"> requests it regularly receives.  </w:t>
      </w:r>
    </w:p>
    <w:p w14:paraId="4B1BB085" w14:textId="77777777" w:rsidR="00E01649" w:rsidRDefault="00E01649" w:rsidP="00161790">
      <w:pPr>
        <w:pStyle w:val="NoSpacing"/>
      </w:pPr>
    </w:p>
    <w:p w14:paraId="107E8BB7" w14:textId="16A24C9D" w:rsidR="00806E80" w:rsidRDefault="00E01649" w:rsidP="00161790">
      <w:pPr>
        <w:pStyle w:val="NoSpacing"/>
      </w:pPr>
      <w:r>
        <w:t>Active access requests are requests that are requests that are open and not currently on hold</w:t>
      </w:r>
    </w:p>
    <w:p w14:paraId="2586598F" w14:textId="77777777" w:rsidR="00161790" w:rsidRDefault="00161790" w:rsidP="00161790">
      <w:pPr>
        <w:pStyle w:val="NoSpacing"/>
      </w:pPr>
    </w:p>
    <w:p w14:paraId="3CB9E983" w14:textId="282DDEB7" w:rsidR="0008501A" w:rsidRDefault="0008501A" w:rsidP="00583D80">
      <w:r>
        <w:t>If the public body is granted an extension, it will</w:t>
      </w:r>
      <w:r w:rsidR="00583D80">
        <w:t xml:space="preserve"> also</w:t>
      </w:r>
      <w:r>
        <w:t xml:space="preserve"> inform how many days will be granted. </w:t>
      </w:r>
    </w:p>
    <w:p w14:paraId="210C5EA0" w14:textId="03D90901" w:rsidR="0008501A" w:rsidRDefault="0008501A" w:rsidP="00583D80">
      <w:pPr>
        <w:ind w:left="360"/>
      </w:pPr>
      <w:r>
        <w:t>For e</w:t>
      </w:r>
      <w:r w:rsidR="00CE2A46">
        <w:t>xample, if Highways and Public w</w:t>
      </w:r>
      <w:r>
        <w:t>orks requests an extension for an acces</w:t>
      </w:r>
      <w:r w:rsidR="00CE2A46">
        <w:t>s request that 75</w:t>
      </w:r>
      <w:r>
        <w:t>0 pages and it has 1 other access request</w:t>
      </w:r>
      <w:r w:rsidR="00E5486F">
        <w:t>,</w:t>
      </w:r>
      <w:r w:rsidR="00CE2A46">
        <w:t xml:space="preserve"> Highways and Public Works</w:t>
      </w:r>
      <w:r>
        <w:t xml:space="preserve"> is unlikely to receive a full 15-business day extension. </w:t>
      </w:r>
    </w:p>
    <w:p w14:paraId="6223D006" w14:textId="77777777" w:rsidR="00CE2A46" w:rsidRPr="00C51764" w:rsidRDefault="00CE2A46" w:rsidP="00C51764">
      <w:pPr>
        <w:ind w:left="360"/>
        <w:rPr>
          <w:u w:val="single"/>
        </w:rPr>
      </w:pPr>
    </w:p>
    <w:tbl>
      <w:tblPr>
        <w:tblStyle w:val="TableGrid"/>
        <w:tblW w:w="0" w:type="auto"/>
        <w:tblInd w:w="360" w:type="dxa"/>
        <w:tblLook w:val="04A0" w:firstRow="1" w:lastRow="0" w:firstColumn="1" w:lastColumn="0" w:noHBand="0" w:noVBand="1"/>
      </w:tblPr>
      <w:tblGrid>
        <w:gridCol w:w="8990"/>
      </w:tblGrid>
      <w:tr w:rsidR="00CE2A46" w14:paraId="0D3B8CD5" w14:textId="77777777" w:rsidTr="00CE2A46">
        <w:tc>
          <w:tcPr>
            <w:tcW w:w="9350" w:type="dxa"/>
            <w:shd w:val="clear" w:color="auto" w:fill="D9D9D9" w:themeFill="background1" w:themeFillShade="D9"/>
          </w:tcPr>
          <w:p w14:paraId="5EBCE17E" w14:textId="77777777" w:rsidR="00CE2A46" w:rsidRPr="00CE2A46" w:rsidRDefault="00CE2A46" w:rsidP="00CE2A46">
            <w:pPr>
              <w:rPr>
                <w:b/>
              </w:rPr>
            </w:pPr>
            <w:r w:rsidRPr="00CE2A46">
              <w:rPr>
                <w:b/>
              </w:rPr>
              <w:t>Formula for average number of open/active access requests public body expected to be resourced to process per month:</w:t>
            </w:r>
          </w:p>
          <w:p w14:paraId="19C748AB" w14:textId="77777777" w:rsidR="00CE2A46" w:rsidRDefault="00CE2A46" w:rsidP="00583D80"/>
        </w:tc>
      </w:tr>
      <w:tr w:rsidR="00CE2A46" w14:paraId="6B32AFDA" w14:textId="77777777" w:rsidTr="00CE2A46">
        <w:tc>
          <w:tcPr>
            <w:tcW w:w="9350" w:type="dxa"/>
          </w:tcPr>
          <w:p w14:paraId="5125C18A" w14:textId="77777777" w:rsidR="00CE2A46" w:rsidRPr="00CE2A46" w:rsidRDefault="00CE2A46" w:rsidP="00CE2A46">
            <w:pPr>
              <w:pStyle w:val="NoSpacing"/>
              <w:jc w:val="center"/>
              <w:rPr>
                <w:u w:val="single"/>
              </w:rPr>
            </w:pPr>
            <w:r w:rsidRPr="00CE2A46">
              <w:rPr>
                <w:u w:val="single"/>
              </w:rPr>
              <w:t>Number of ATIPP requests received by public body over past 2 fiscal years</w:t>
            </w:r>
          </w:p>
          <w:p w14:paraId="307EAF50" w14:textId="77777777" w:rsidR="00CE2A46" w:rsidRPr="00CE2A46" w:rsidRDefault="00CE2A46" w:rsidP="00CE2A46">
            <w:pPr>
              <w:pStyle w:val="NoSpacing"/>
              <w:jc w:val="center"/>
            </w:pPr>
            <w:r w:rsidRPr="00CE2A46">
              <w:t>24 months</w:t>
            </w:r>
          </w:p>
          <w:p w14:paraId="40969082" w14:textId="77777777" w:rsidR="00CE2A46" w:rsidRDefault="00CE2A46" w:rsidP="00583D80"/>
        </w:tc>
      </w:tr>
    </w:tbl>
    <w:p w14:paraId="39B342D8" w14:textId="49147849" w:rsidR="004E2438" w:rsidRDefault="004E2438" w:rsidP="00CE2A46"/>
    <w:p w14:paraId="143977A8" w14:textId="6260C8A9" w:rsidR="00BB17A1" w:rsidRDefault="00BB17A1" w:rsidP="00CE2A46">
      <w:pPr>
        <w:pStyle w:val="Heading4"/>
      </w:pPr>
      <w:r>
        <w:t>The number of closed</w:t>
      </w:r>
      <w:r w:rsidR="00E5486F">
        <w:t>/completed</w:t>
      </w:r>
      <w:r w:rsidR="00C931CC">
        <w:t xml:space="preserve"> access requests during past 30 days</w:t>
      </w:r>
      <w:r>
        <w:t>.</w:t>
      </w:r>
    </w:p>
    <w:p w14:paraId="1AA7E303" w14:textId="13D824CF" w:rsidR="00BB17A1" w:rsidRDefault="00BB17A1" w:rsidP="00CE2A46">
      <w:r>
        <w:t xml:space="preserve">This will inform whether work was completed on other requests which takes resources from this specific request. </w:t>
      </w:r>
    </w:p>
    <w:p w14:paraId="1E2F9996" w14:textId="320A849E" w:rsidR="00A20992" w:rsidRDefault="00A20992" w:rsidP="00CE2A46">
      <w:pPr>
        <w:pStyle w:val="Heading4"/>
      </w:pPr>
      <w:r>
        <w:t xml:space="preserve">Any additional factors </w:t>
      </w:r>
    </w:p>
    <w:p w14:paraId="510D75C9" w14:textId="77777777" w:rsidR="001F13C2" w:rsidRDefault="001F13C2" w:rsidP="00806E80"/>
    <w:p w14:paraId="5E210794" w14:textId="1E9B90C4" w:rsidR="00806E80" w:rsidRPr="00C854B3" w:rsidRDefault="0008501A" w:rsidP="00806E80">
      <w:r>
        <w:t>If the extension is granted, t</w:t>
      </w:r>
      <w:r w:rsidR="00806E80">
        <w:t>he applicant can then choose to challenge the APO’s decision by filing a complaint with the Office of the Inform</w:t>
      </w:r>
      <w:r>
        <w:t xml:space="preserve">ation and Privacy Commissioner. </w:t>
      </w:r>
    </w:p>
    <w:p w14:paraId="2E187CC4" w14:textId="77777777" w:rsidR="00B93145" w:rsidRPr="00B93145" w:rsidRDefault="00B93145" w:rsidP="00C854B3">
      <w:pPr>
        <w:pStyle w:val="Heading1"/>
      </w:pPr>
    </w:p>
    <w:sectPr w:rsidR="00B93145" w:rsidRPr="00B9314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DAF5D" w14:textId="77777777" w:rsidR="001F6946" w:rsidRDefault="001F6946" w:rsidP="0072495F">
      <w:pPr>
        <w:spacing w:after="0" w:line="240" w:lineRule="auto"/>
      </w:pPr>
      <w:r>
        <w:separator/>
      </w:r>
    </w:p>
  </w:endnote>
  <w:endnote w:type="continuationSeparator" w:id="0">
    <w:p w14:paraId="700354C3" w14:textId="77777777" w:rsidR="001F6946" w:rsidRDefault="001F6946" w:rsidP="0072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unito Sans">
    <w:altName w:val="Courier New"/>
    <w:panose1 w:val="00000500000000000000"/>
    <w:charset w:val="00"/>
    <w:family w:val="auto"/>
    <w:pitch w:val="variable"/>
    <w:sig w:usb0="20000007" w:usb1="00000001" w:usb2="00000000" w:usb3="00000000" w:csb0="00000193"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Aleo">
    <w:panose1 w:val="020F0302020204030203"/>
    <w:charset w:val="00"/>
    <w:family w:val="swiss"/>
    <w:notTrueType/>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D700" w14:textId="77777777" w:rsidR="00E66F2B" w:rsidRDefault="00E66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58A6E" w14:textId="77777777" w:rsidR="00E66F2B" w:rsidRDefault="00E66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F0EE" w14:textId="77777777" w:rsidR="00E66F2B" w:rsidRDefault="00E6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B89DA" w14:textId="77777777" w:rsidR="001F6946" w:rsidRDefault="001F6946" w:rsidP="0072495F">
      <w:pPr>
        <w:spacing w:after="0" w:line="240" w:lineRule="auto"/>
      </w:pPr>
      <w:r>
        <w:separator/>
      </w:r>
    </w:p>
  </w:footnote>
  <w:footnote w:type="continuationSeparator" w:id="0">
    <w:p w14:paraId="32896837" w14:textId="77777777" w:rsidR="001F6946" w:rsidRDefault="001F6946" w:rsidP="00724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9CB5" w14:textId="77777777" w:rsidR="00E66F2B" w:rsidRDefault="00E66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061A" w14:textId="77777777" w:rsidR="00E66F2B" w:rsidRDefault="00E66F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C0CB3" w14:textId="77777777" w:rsidR="00E66F2B" w:rsidRDefault="00E66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279A"/>
    <w:multiLevelType w:val="hybridMultilevel"/>
    <w:tmpl w:val="482A0648"/>
    <w:lvl w:ilvl="0" w:tplc="10090001">
      <w:start w:val="1"/>
      <w:numFmt w:val="bullet"/>
      <w:lvlText w:val=""/>
      <w:lvlJc w:val="left"/>
      <w:pPr>
        <w:ind w:left="720" w:hanging="360"/>
      </w:pPr>
      <w:rPr>
        <w:rFonts w:ascii="Symbol" w:hAnsi="Symbol" w:hint="default"/>
      </w:rPr>
    </w:lvl>
    <w:lvl w:ilvl="1" w:tplc="AF38AA66">
      <w:numFmt w:val="bullet"/>
      <w:lvlText w:val="•"/>
      <w:lvlJc w:val="left"/>
      <w:pPr>
        <w:ind w:left="1440" w:hanging="360"/>
      </w:pPr>
      <w:rPr>
        <w:rFonts w:ascii="Calibri" w:eastAsiaTheme="minorHAnsi" w:hAnsi="Calibri"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262B4B"/>
    <w:multiLevelType w:val="hybridMultilevel"/>
    <w:tmpl w:val="0B3A1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8B7384"/>
    <w:multiLevelType w:val="hybridMultilevel"/>
    <w:tmpl w:val="BFAE14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8E0507"/>
    <w:multiLevelType w:val="hybridMultilevel"/>
    <w:tmpl w:val="21089C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A12381"/>
    <w:multiLevelType w:val="hybridMultilevel"/>
    <w:tmpl w:val="6ABE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0393B"/>
    <w:multiLevelType w:val="hybridMultilevel"/>
    <w:tmpl w:val="9634D8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3B000C9"/>
    <w:multiLevelType w:val="hybridMultilevel"/>
    <w:tmpl w:val="9A683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A655036"/>
    <w:multiLevelType w:val="hybridMultilevel"/>
    <w:tmpl w:val="BD2A74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E54FDE"/>
    <w:multiLevelType w:val="hybridMultilevel"/>
    <w:tmpl w:val="5E42A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79C3ED6"/>
    <w:multiLevelType w:val="hybridMultilevel"/>
    <w:tmpl w:val="C672B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E227B6B"/>
    <w:multiLevelType w:val="hybridMultilevel"/>
    <w:tmpl w:val="23CCA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4B409B6"/>
    <w:multiLevelType w:val="hybridMultilevel"/>
    <w:tmpl w:val="820EE7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9204B6E"/>
    <w:multiLevelType w:val="hybridMultilevel"/>
    <w:tmpl w:val="489C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83F63"/>
    <w:multiLevelType w:val="hybridMultilevel"/>
    <w:tmpl w:val="1638D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58E0860"/>
    <w:multiLevelType w:val="hybridMultilevel"/>
    <w:tmpl w:val="D646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8"/>
  </w:num>
  <w:num w:numId="5">
    <w:abstractNumId w:val="13"/>
  </w:num>
  <w:num w:numId="6">
    <w:abstractNumId w:val="5"/>
  </w:num>
  <w:num w:numId="7">
    <w:abstractNumId w:val="10"/>
  </w:num>
  <w:num w:numId="8">
    <w:abstractNumId w:val="3"/>
  </w:num>
  <w:num w:numId="9">
    <w:abstractNumId w:val="6"/>
  </w:num>
  <w:num w:numId="10">
    <w:abstractNumId w:val="0"/>
  </w:num>
  <w:num w:numId="11">
    <w:abstractNumId w:val="2"/>
  </w:num>
  <w:num w:numId="12">
    <w:abstractNumId w:val="11"/>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CE"/>
    <w:rsid w:val="000139BD"/>
    <w:rsid w:val="00047BEB"/>
    <w:rsid w:val="00056EC9"/>
    <w:rsid w:val="000616B6"/>
    <w:rsid w:val="0008501A"/>
    <w:rsid w:val="00090A16"/>
    <w:rsid w:val="000B2C6F"/>
    <w:rsid w:val="000D45CE"/>
    <w:rsid w:val="000F5C3A"/>
    <w:rsid w:val="00100601"/>
    <w:rsid w:val="00161790"/>
    <w:rsid w:val="0017301C"/>
    <w:rsid w:val="00192E19"/>
    <w:rsid w:val="001B3D82"/>
    <w:rsid w:val="001F0FB0"/>
    <w:rsid w:val="001F13C2"/>
    <w:rsid w:val="001F6946"/>
    <w:rsid w:val="00200D83"/>
    <w:rsid w:val="00273BBF"/>
    <w:rsid w:val="00291547"/>
    <w:rsid w:val="002B1088"/>
    <w:rsid w:val="002C59F2"/>
    <w:rsid w:val="002D64DA"/>
    <w:rsid w:val="002E336B"/>
    <w:rsid w:val="002E4885"/>
    <w:rsid w:val="0032178E"/>
    <w:rsid w:val="003360E9"/>
    <w:rsid w:val="003761F2"/>
    <w:rsid w:val="003B1B0B"/>
    <w:rsid w:val="003D2709"/>
    <w:rsid w:val="003E7678"/>
    <w:rsid w:val="003F71FF"/>
    <w:rsid w:val="0042517E"/>
    <w:rsid w:val="00426981"/>
    <w:rsid w:val="00443517"/>
    <w:rsid w:val="00456C3B"/>
    <w:rsid w:val="00467261"/>
    <w:rsid w:val="00474404"/>
    <w:rsid w:val="004B5F22"/>
    <w:rsid w:val="004C06D2"/>
    <w:rsid w:val="004C0FC2"/>
    <w:rsid w:val="004D5160"/>
    <w:rsid w:val="004E2438"/>
    <w:rsid w:val="004E2D6B"/>
    <w:rsid w:val="004E4173"/>
    <w:rsid w:val="005710DD"/>
    <w:rsid w:val="00583D80"/>
    <w:rsid w:val="005901CE"/>
    <w:rsid w:val="005B6051"/>
    <w:rsid w:val="0060636F"/>
    <w:rsid w:val="00626CCE"/>
    <w:rsid w:val="0064239E"/>
    <w:rsid w:val="00673389"/>
    <w:rsid w:val="00680D0D"/>
    <w:rsid w:val="00694864"/>
    <w:rsid w:val="006A1307"/>
    <w:rsid w:val="006A231B"/>
    <w:rsid w:val="006A2F97"/>
    <w:rsid w:val="006C23EB"/>
    <w:rsid w:val="0072495F"/>
    <w:rsid w:val="00791B09"/>
    <w:rsid w:val="007A1885"/>
    <w:rsid w:val="00806E80"/>
    <w:rsid w:val="00807EC5"/>
    <w:rsid w:val="00812A74"/>
    <w:rsid w:val="0083780D"/>
    <w:rsid w:val="00847F83"/>
    <w:rsid w:val="008526AB"/>
    <w:rsid w:val="00871C97"/>
    <w:rsid w:val="0088281A"/>
    <w:rsid w:val="00891424"/>
    <w:rsid w:val="00936D01"/>
    <w:rsid w:val="00963350"/>
    <w:rsid w:val="0096598A"/>
    <w:rsid w:val="00965CE5"/>
    <w:rsid w:val="00992FAC"/>
    <w:rsid w:val="009B0C7A"/>
    <w:rsid w:val="009C55AD"/>
    <w:rsid w:val="00A17AEA"/>
    <w:rsid w:val="00A20992"/>
    <w:rsid w:val="00A441EC"/>
    <w:rsid w:val="00A526D9"/>
    <w:rsid w:val="00A75A93"/>
    <w:rsid w:val="00A834DC"/>
    <w:rsid w:val="00A90C05"/>
    <w:rsid w:val="00AA46C2"/>
    <w:rsid w:val="00AC1291"/>
    <w:rsid w:val="00AC3103"/>
    <w:rsid w:val="00B41A43"/>
    <w:rsid w:val="00B506A1"/>
    <w:rsid w:val="00B809A5"/>
    <w:rsid w:val="00B93145"/>
    <w:rsid w:val="00BA0C3C"/>
    <w:rsid w:val="00BB17A1"/>
    <w:rsid w:val="00BD3CC5"/>
    <w:rsid w:val="00BD6E7E"/>
    <w:rsid w:val="00C027D6"/>
    <w:rsid w:val="00C1027C"/>
    <w:rsid w:val="00C14F1F"/>
    <w:rsid w:val="00C16C33"/>
    <w:rsid w:val="00C51764"/>
    <w:rsid w:val="00C572EB"/>
    <w:rsid w:val="00C74895"/>
    <w:rsid w:val="00C7788E"/>
    <w:rsid w:val="00C8293D"/>
    <w:rsid w:val="00C854B3"/>
    <w:rsid w:val="00C90EE7"/>
    <w:rsid w:val="00C931CC"/>
    <w:rsid w:val="00CE235A"/>
    <w:rsid w:val="00CE2A46"/>
    <w:rsid w:val="00D000B4"/>
    <w:rsid w:val="00D25FDA"/>
    <w:rsid w:val="00D52162"/>
    <w:rsid w:val="00D851DF"/>
    <w:rsid w:val="00DB38AA"/>
    <w:rsid w:val="00DE6D86"/>
    <w:rsid w:val="00E01649"/>
    <w:rsid w:val="00E43AD3"/>
    <w:rsid w:val="00E5486F"/>
    <w:rsid w:val="00E66F2B"/>
    <w:rsid w:val="00E70F11"/>
    <w:rsid w:val="00EA0733"/>
    <w:rsid w:val="00EA545D"/>
    <w:rsid w:val="00EA5B1B"/>
    <w:rsid w:val="00EB3B3F"/>
    <w:rsid w:val="00ED4AB3"/>
    <w:rsid w:val="00EE6B06"/>
    <w:rsid w:val="00EF46D5"/>
    <w:rsid w:val="00F1177F"/>
    <w:rsid w:val="00F261B8"/>
    <w:rsid w:val="00F41A2B"/>
    <w:rsid w:val="00F80B24"/>
    <w:rsid w:val="00F83113"/>
    <w:rsid w:val="00FC44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0D9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6B6"/>
    <w:rPr>
      <w:rFonts w:ascii="Nunito Sans" w:hAnsi="Nunito Sans"/>
    </w:rPr>
  </w:style>
  <w:style w:type="paragraph" w:styleId="Heading1">
    <w:name w:val="heading 1"/>
    <w:basedOn w:val="Normal"/>
    <w:next w:val="Normal"/>
    <w:link w:val="Heading1Char"/>
    <w:uiPriority w:val="9"/>
    <w:qFormat/>
    <w:rsid w:val="00C8293D"/>
    <w:pPr>
      <w:keepNext/>
      <w:keepLines/>
      <w:spacing w:before="240" w:after="0"/>
      <w:outlineLvl w:val="0"/>
    </w:pPr>
    <w:rPr>
      <w:rFonts w:ascii="Montserrat" w:eastAsiaTheme="majorEastAsia" w:hAnsi="Montserrat" w:cstheme="majorBidi"/>
      <w:b/>
      <w:color w:val="7A9702"/>
      <w:sz w:val="32"/>
      <w:szCs w:val="32"/>
    </w:rPr>
  </w:style>
  <w:style w:type="paragraph" w:styleId="Heading2">
    <w:name w:val="heading 2"/>
    <w:basedOn w:val="Normal"/>
    <w:next w:val="Normal"/>
    <w:link w:val="Heading2Char"/>
    <w:uiPriority w:val="9"/>
    <w:unhideWhenUsed/>
    <w:qFormat/>
    <w:rsid w:val="00C8293D"/>
    <w:pPr>
      <w:keepNext/>
      <w:keepLines/>
      <w:spacing w:before="40" w:after="0"/>
      <w:outlineLvl w:val="1"/>
    </w:pPr>
    <w:rPr>
      <w:rFonts w:eastAsiaTheme="majorEastAsia" w:cstheme="majorBidi"/>
      <w:b/>
      <w:color w:val="ED952D"/>
      <w:sz w:val="26"/>
      <w:szCs w:val="26"/>
    </w:rPr>
  </w:style>
  <w:style w:type="paragraph" w:styleId="Heading3">
    <w:name w:val="heading 3"/>
    <w:basedOn w:val="Normal"/>
    <w:next w:val="Normal"/>
    <w:link w:val="Heading3Char"/>
    <w:uiPriority w:val="9"/>
    <w:unhideWhenUsed/>
    <w:qFormat/>
    <w:rsid w:val="000616B6"/>
    <w:pPr>
      <w:keepNext/>
      <w:keepLines/>
      <w:spacing w:before="40" w:after="0"/>
      <w:outlineLvl w:val="2"/>
    </w:pPr>
    <w:rPr>
      <w:rFonts w:eastAsiaTheme="majorEastAsia" w:cstheme="majorBidi"/>
      <w:color w:val="00B0F0"/>
      <w:sz w:val="24"/>
      <w:szCs w:val="24"/>
    </w:rPr>
  </w:style>
  <w:style w:type="paragraph" w:styleId="Heading4">
    <w:name w:val="heading 4"/>
    <w:basedOn w:val="Normal"/>
    <w:next w:val="Normal"/>
    <w:link w:val="Heading4Char"/>
    <w:uiPriority w:val="9"/>
    <w:unhideWhenUsed/>
    <w:qFormat/>
    <w:rsid w:val="000616B6"/>
    <w:pPr>
      <w:keepNext/>
      <w:keepLines/>
      <w:spacing w:before="40" w:after="0"/>
      <w:outlineLvl w:val="3"/>
    </w:pPr>
    <w:rPr>
      <w:rFonts w:asciiTheme="majorHAnsi" w:eastAsiaTheme="majorEastAsia" w:hAnsiTheme="majorHAnsi" w:cstheme="majorBidi"/>
      <w:i/>
      <w:iCs/>
      <w:color w:val="F2A900" w:themeColor="accent6"/>
    </w:rPr>
  </w:style>
  <w:style w:type="paragraph" w:styleId="Heading5">
    <w:name w:val="heading 5"/>
    <w:basedOn w:val="Normal"/>
    <w:next w:val="Normal"/>
    <w:link w:val="Heading5Char"/>
    <w:uiPriority w:val="9"/>
    <w:unhideWhenUsed/>
    <w:qFormat/>
    <w:rsid w:val="00DB38AA"/>
    <w:pPr>
      <w:keepNext/>
      <w:keepLines/>
      <w:spacing w:before="40" w:after="0"/>
      <w:outlineLvl w:val="4"/>
    </w:pPr>
    <w:rPr>
      <w:rFonts w:asciiTheme="majorHAnsi" w:eastAsiaTheme="majorEastAsia" w:hAnsiTheme="majorHAnsi" w:cstheme="majorBidi"/>
      <w:color w:val="3C1F3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4F1F"/>
    <w:pPr>
      <w:spacing w:after="0" w:line="240" w:lineRule="auto"/>
    </w:pPr>
    <w:rPr>
      <w:rFonts w:ascii="Nunito Sans" w:hAnsi="Nunito Sans"/>
    </w:rPr>
  </w:style>
  <w:style w:type="character" w:styleId="CommentReference">
    <w:name w:val="annotation reference"/>
    <w:basedOn w:val="DefaultParagraphFont"/>
    <w:uiPriority w:val="99"/>
    <w:semiHidden/>
    <w:unhideWhenUsed/>
    <w:rsid w:val="00626CCE"/>
    <w:rPr>
      <w:sz w:val="16"/>
      <w:szCs w:val="16"/>
    </w:rPr>
  </w:style>
  <w:style w:type="paragraph" w:styleId="CommentText">
    <w:name w:val="annotation text"/>
    <w:basedOn w:val="Normal"/>
    <w:link w:val="CommentTextChar"/>
    <w:uiPriority w:val="99"/>
    <w:semiHidden/>
    <w:unhideWhenUsed/>
    <w:rsid w:val="00626CCE"/>
    <w:pPr>
      <w:spacing w:line="240" w:lineRule="auto"/>
    </w:pPr>
    <w:rPr>
      <w:sz w:val="20"/>
      <w:szCs w:val="20"/>
    </w:rPr>
  </w:style>
  <w:style w:type="character" w:customStyle="1" w:styleId="CommentTextChar">
    <w:name w:val="Comment Text Char"/>
    <w:basedOn w:val="DefaultParagraphFont"/>
    <w:link w:val="CommentText"/>
    <w:uiPriority w:val="99"/>
    <w:semiHidden/>
    <w:rsid w:val="00626CCE"/>
    <w:rPr>
      <w:sz w:val="20"/>
      <w:szCs w:val="20"/>
    </w:rPr>
  </w:style>
  <w:style w:type="paragraph" w:styleId="CommentSubject">
    <w:name w:val="annotation subject"/>
    <w:basedOn w:val="CommentText"/>
    <w:next w:val="CommentText"/>
    <w:link w:val="CommentSubjectChar"/>
    <w:uiPriority w:val="99"/>
    <w:semiHidden/>
    <w:unhideWhenUsed/>
    <w:rsid w:val="00626CCE"/>
    <w:rPr>
      <w:b/>
      <w:bCs/>
    </w:rPr>
  </w:style>
  <w:style w:type="character" w:customStyle="1" w:styleId="CommentSubjectChar">
    <w:name w:val="Comment Subject Char"/>
    <w:basedOn w:val="CommentTextChar"/>
    <w:link w:val="CommentSubject"/>
    <w:uiPriority w:val="99"/>
    <w:semiHidden/>
    <w:rsid w:val="00626CCE"/>
    <w:rPr>
      <w:b/>
      <w:bCs/>
      <w:sz w:val="20"/>
      <w:szCs w:val="20"/>
    </w:rPr>
  </w:style>
  <w:style w:type="paragraph" w:styleId="BalloonText">
    <w:name w:val="Balloon Text"/>
    <w:basedOn w:val="Normal"/>
    <w:link w:val="BalloonTextChar"/>
    <w:uiPriority w:val="99"/>
    <w:semiHidden/>
    <w:unhideWhenUsed/>
    <w:rsid w:val="0062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CE"/>
    <w:rPr>
      <w:rFonts w:ascii="Segoe UI" w:hAnsi="Segoe UI" w:cs="Segoe UI"/>
      <w:sz w:val="18"/>
      <w:szCs w:val="18"/>
    </w:rPr>
  </w:style>
  <w:style w:type="character" w:customStyle="1" w:styleId="Heading1Char">
    <w:name w:val="Heading 1 Char"/>
    <w:basedOn w:val="DefaultParagraphFont"/>
    <w:link w:val="Heading1"/>
    <w:uiPriority w:val="9"/>
    <w:rsid w:val="00C8293D"/>
    <w:rPr>
      <w:rFonts w:ascii="Montserrat" w:eastAsiaTheme="majorEastAsia" w:hAnsi="Montserrat" w:cstheme="majorBidi"/>
      <w:b/>
      <w:color w:val="7A9702"/>
      <w:sz w:val="32"/>
      <w:szCs w:val="32"/>
    </w:rPr>
  </w:style>
  <w:style w:type="character" w:customStyle="1" w:styleId="Heading2Char">
    <w:name w:val="Heading 2 Char"/>
    <w:basedOn w:val="DefaultParagraphFont"/>
    <w:link w:val="Heading2"/>
    <w:uiPriority w:val="9"/>
    <w:rsid w:val="00C8293D"/>
    <w:rPr>
      <w:rFonts w:ascii="Nunito Sans" w:eastAsiaTheme="majorEastAsia" w:hAnsi="Nunito Sans" w:cstheme="majorBidi"/>
      <w:b/>
      <w:color w:val="ED952D"/>
      <w:sz w:val="26"/>
      <w:szCs w:val="26"/>
    </w:rPr>
  </w:style>
  <w:style w:type="paragraph" w:styleId="Header">
    <w:name w:val="header"/>
    <w:basedOn w:val="Normal"/>
    <w:link w:val="HeaderChar"/>
    <w:uiPriority w:val="99"/>
    <w:unhideWhenUsed/>
    <w:rsid w:val="001F0FB0"/>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1F0FB0"/>
    <w:rPr>
      <w:rFonts w:ascii="Nunito Sans" w:hAnsi="Nunito Sans"/>
      <w:sz w:val="24"/>
      <w:szCs w:val="24"/>
      <w:lang w:val="en-US"/>
    </w:rPr>
  </w:style>
  <w:style w:type="character" w:styleId="Hyperlink">
    <w:name w:val="Hyperlink"/>
    <w:basedOn w:val="DefaultParagraphFont"/>
    <w:uiPriority w:val="99"/>
    <w:unhideWhenUsed/>
    <w:rsid w:val="005710DD"/>
    <w:rPr>
      <w:color w:val="0563C1" w:themeColor="hyperlink"/>
      <w:u w:val="single"/>
    </w:rPr>
  </w:style>
  <w:style w:type="character" w:customStyle="1" w:styleId="Heading3Char">
    <w:name w:val="Heading 3 Char"/>
    <w:basedOn w:val="DefaultParagraphFont"/>
    <w:link w:val="Heading3"/>
    <w:uiPriority w:val="9"/>
    <w:rsid w:val="000616B6"/>
    <w:rPr>
      <w:rFonts w:ascii="Nunito Sans" w:eastAsiaTheme="majorEastAsia" w:hAnsi="Nunito Sans" w:cstheme="majorBidi"/>
      <w:color w:val="00B0F0"/>
      <w:sz w:val="24"/>
      <w:szCs w:val="24"/>
    </w:rPr>
  </w:style>
  <w:style w:type="character" w:customStyle="1" w:styleId="Heading4Char">
    <w:name w:val="Heading 4 Char"/>
    <w:basedOn w:val="DefaultParagraphFont"/>
    <w:link w:val="Heading4"/>
    <w:uiPriority w:val="9"/>
    <w:rsid w:val="000616B6"/>
    <w:rPr>
      <w:rFonts w:asciiTheme="majorHAnsi" w:eastAsiaTheme="majorEastAsia" w:hAnsiTheme="majorHAnsi" w:cstheme="majorBidi"/>
      <w:i/>
      <w:iCs/>
      <w:color w:val="F2A900" w:themeColor="accent6"/>
    </w:rPr>
  </w:style>
  <w:style w:type="paragraph" w:styleId="Title">
    <w:name w:val="Title"/>
    <w:basedOn w:val="Normal"/>
    <w:next w:val="Normal"/>
    <w:link w:val="TitleChar"/>
    <w:uiPriority w:val="10"/>
    <w:qFormat/>
    <w:rsid w:val="00B931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1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D6E7E"/>
    <w:pPr>
      <w:ind w:left="720"/>
      <w:contextualSpacing/>
    </w:pPr>
  </w:style>
  <w:style w:type="character" w:customStyle="1" w:styleId="Heading5Char">
    <w:name w:val="Heading 5 Char"/>
    <w:basedOn w:val="DefaultParagraphFont"/>
    <w:link w:val="Heading5"/>
    <w:uiPriority w:val="9"/>
    <w:rsid w:val="00DB38AA"/>
    <w:rPr>
      <w:rFonts w:asciiTheme="majorHAnsi" w:eastAsiaTheme="majorEastAsia" w:hAnsiTheme="majorHAnsi" w:cstheme="majorBidi"/>
      <w:color w:val="3C1F32" w:themeColor="accent1" w:themeShade="BF"/>
    </w:rPr>
  </w:style>
  <w:style w:type="table" w:styleId="TableGrid">
    <w:name w:val="Table Grid"/>
    <w:basedOn w:val="TableNormal"/>
    <w:uiPriority w:val="39"/>
    <w:rsid w:val="00DB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60E9"/>
    <w:rPr>
      <w:color w:val="954F72" w:themeColor="followedHyperlink"/>
      <w:u w:val="single"/>
    </w:rPr>
  </w:style>
  <w:style w:type="paragraph" w:styleId="FootnoteText">
    <w:name w:val="footnote text"/>
    <w:basedOn w:val="Normal"/>
    <w:link w:val="FootnoteTextChar"/>
    <w:uiPriority w:val="99"/>
    <w:semiHidden/>
    <w:unhideWhenUsed/>
    <w:rsid w:val="007249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95F"/>
    <w:rPr>
      <w:rFonts w:ascii="Nunito Sans" w:hAnsi="Nunito Sans"/>
      <w:sz w:val="20"/>
      <w:szCs w:val="20"/>
    </w:rPr>
  </w:style>
  <w:style w:type="character" w:styleId="FootnoteReference">
    <w:name w:val="footnote reference"/>
    <w:basedOn w:val="DefaultParagraphFont"/>
    <w:uiPriority w:val="99"/>
    <w:semiHidden/>
    <w:unhideWhenUsed/>
    <w:rsid w:val="0072495F"/>
    <w:rPr>
      <w:vertAlign w:val="superscript"/>
    </w:rPr>
  </w:style>
  <w:style w:type="paragraph" w:styleId="Footer">
    <w:name w:val="footer"/>
    <w:basedOn w:val="Normal"/>
    <w:link w:val="FooterChar"/>
    <w:uiPriority w:val="99"/>
    <w:unhideWhenUsed/>
    <w:rsid w:val="00E66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F2B"/>
    <w:rPr>
      <w:rFonts w:ascii="Nunito Sans" w:hAnsi="Nunito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12A44"/>
      </a:accent1>
      <a:accent2>
        <a:srgbClr val="0197A9"/>
      </a:accent2>
      <a:accent3>
        <a:srgbClr val="DC4405"/>
      </a:accent3>
      <a:accent4>
        <a:srgbClr val="244C5A"/>
      </a:accent4>
      <a:accent5>
        <a:srgbClr val="7A9A01"/>
      </a:accent5>
      <a:accent6>
        <a:srgbClr val="F2A9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2021-08-30T18:19:00Z</dcterms:created>
  <dcterms:modified xsi:type="dcterms:W3CDTF">2021-08-30T18:54:00Z</dcterms:modified>
</cp:coreProperties>
</file>