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02E04" w14:textId="77777777" w:rsidR="000B40A6" w:rsidRDefault="000B40A6" w:rsidP="000B40A6">
      <w:pPr>
        <w:spacing w:after="0"/>
        <w:ind w:left="-720" w:right="-720"/>
      </w:pPr>
    </w:p>
    <w:p w14:paraId="2D424039" w14:textId="77777777" w:rsidR="000B40A6" w:rsidRDefault="000B40A6" w:rsidP="000B40A6">
      <w:pPr>
        <w:rPr>
          <w:rFonts w:ascii="Montserrat SemiBold" w:hAnsi="Montserrat SemiBold"/>
          <w:color w:val="DC4405" w:themeColor="accent5"/>
          <w:sz w:val="40"/>
          <w:szCs w:val="40"/>
        </w:rPr>
      </w:pPr>
      <w:r w:rsidRPr="00DB57FE">
        <w:rPr>
          <w:rFonts w:ascii="Montserrat SemiBold" w:hAnsi="Montserrat SemiBold"/>
          <w:noProof/>
          <w:color w:val="DC4405" w:themeColor="accent5"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754AF4" wp14:editId="24C95B8B">
                <wp:simplePos x="0" y="0"/>
                <wp:positionH relativeFrom="margin">
                  <wp:posOffset>975491</wp:posOffset>
                </wp:positionH>
                <wp:positionV relativeFrom="paragraph">
                  <wp:posOffset>3490989</wp:posOffset>
                </wp:positionV>
                <wp:extent cx="5313680" cy="1564005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D2E20" w14:textId="77777777" w:rsidR="000B40A6" w:rsidRPr="00897074" w:rsidRDefault="000B40A6" w:rsidP="000B40A6">
                            <w:pPr>
                              <w:jc w:val="right"/>
                              <w:rPr>
                                <w:rFonts w:ascii="Aleo" w:hAnsi="Aleo"/>
                                <w:b/>
                                <w:color w:val="244C5A" w:themeColor="accent1"/>
                                <w:sz w:val="5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DC4405" w:themeColor="accent5"/>
                                <w:sz w:val="56"/>
                              </w:rPr>
                              <w:t>Clarifying Access Requests</w:t>
                            </w:r>
                          </w:p>
                          <w:p w14:paraId="108F7B76" w14:textId="77777777" w:rsidR="000B40A6" w:rsidRPr="00DB57FE" w:rsidRDefault="000B40A6" w:rsidP="000B40A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54A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8pt;margin-top:274.9pt;width:418.4pt;height:12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" stroked="f">
                <v:textbox>
                  <w:txbxContent>
                    <w:p w14:paraId="6D6D2E20" w14:textId="77777777" w:rsidR="000B40A6" w:rsidRPr="00897074" w:rsidRDefault="000B40A6" w:rsidP="000B40A6">
                      <w:pPr>
                        <w:jc w:val="right"/>
                        <w:rPr>
                          <w:rFonts w:ascii="Aleo" w:hAnsi="Aleo"/>
                          <w:b/>
                          <w:color w:val="244C5A" w:themeColor="accent1"/>
                          <w:sz w:val="52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DC4405" w:themeColor="accent5"/>
                          <w:sz w:val="56"/>
                        </w:rPr>
                        <w:t>Clarifying Access Requests</w:t>
                      </w:r>
                    </w:p>
                    <w:p w14:paraId="108F7B76" w14:textId="77777777" w:rsidR="000B40A6" w:rsidRPr="00DB57FE" w:rsidRDefault="000B40A6" w:rsidP="000B40A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 SemiBold" w:hAnsi="Montserrat SemiBold"/>
          <w:noProof/>
          <w:color w:val="DC4405" w:themeColor="accent5"/>
          <w:sz w:val="40"/>
          <w:szCs w:val="40"/>
          <w:lang w:val="en-US"/>
        </w:rPr>
        <w:drawing>
          <wp:anchor distT="0" distB="0" distL="114300" distR="114300" simplePos="0" relativeHeight="251660288" behindDoc="0" locked="0" layoutInCell="1" allowOverlap="1" wp14:anchorId="5BC9A25C" wp14:editId="61668C78">
            <wp:simplePos x="0" y="0"/>
            <wp:positionH relativeFrom="margin">
              <wp:posOffset>-1927116</wp:posOffset>
            </wp:positionH>
            <wp:positionV relativeFrom="margin">
              <wp:posOffset>4391332</wp:posOffset>
            </wp:positionV>
            <wp:extent cx="9766935" cy="5220335"/>
            <wp:effectExtent l="0" t="0" r="0" b="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G_Aurora_Moss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935" cy="522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>
        <w:rPr>
          <w:rFonts w:ascii="Montserrat SemiBold" w:hAnsi="Montserrat SemiBold"/>
          <w:noProof/>
          <w:color w:val="DC4405" w:themeColor="accent5"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3627CAC2" wp14:editId="2F9A5549">
            <wp:simplePos x="914400" y="669851"/>
            <wp:positionH relativeFrom="margin">
              <wp:align>right</wp:align>
            </wp:positionH>
            <wp:positionV relativeFrom="margin">
              <wp:align>top</wp:align>
            </wp:positionV>
            <wp:extent cx="1892812" cy="679705"/>
            <wp:effectExtent l="0" t="0" r="0" b="0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Wordmark_2018_RGB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12" cy="6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68C58" w14:textId="77777777" w:rsidR="00B77FCB" w:rsidRPr="009C73AA" w:rsidRDefault="00B77FCB" w:rsidP="009C73AA">
      <w:pPr>
        <w:pStyle w:val="Title"/>
      </w:pPr>
      <w:r w:rsidRPr="009C73AA">
        <w:lastRenderedPageBreak/>
        <w:t>Guide to Clarifying Access Requests</w:t>
      </w:r>
    </w:p>
    <w:p w14:paraId="4D62EA4E" w14:textId="77777777" w:rsidR="009C73AA" w:rsidRDefault="009C73AA" w:rsidP="009B015F">
      <w:pPr>
        <w:jc w:val="both"/>
        <w:rPr>
          <w:b/>
        </w:rPr>
      </w:pPr>
    </w:p>
    <w:p w14:paraId="66C3801C" w14:textId="77777777" w:rsidR="00443979" w:rsidRDefault="00443979" w:rsidP="009C73AA">
      <w:pPr>
        <w:pStyle w:val="Heading1"/>
      </w:pPr>
      <w:r>
        <w:t>Purpose</w:t>
      </w:r>
      <w:r w:rsidR="00112B4C">
        <w:br/>
      </w:r>
    </w:p>
    <w:p w14:paraId="7516A0D7" w14:textId="0DC6B5B5" w:rsidR="004C2AB6" w:rsidRDefault="00443979" w:rsidP="009B015F">
      <w:pPr>
        <w:jc w:val="both"/>
      </w:pPr>
      <w:r>
        <w:t>This</w:t>
      </w:r>
      <w:r w:rsidR="000159C0">
        <w:t xml:space="preserve"> document provides guidance to A</w:t>
      </w:r>
      <w:r>
        <w:t xml:space="preserve">pplicants and </w:t>
      </w:r>
      <w:r w:rsidR="00C651E9">
        <w:t>Public B</w:t>
      </w:r>
      <w:r w:rsidR="00A036A2">
        <w:t xml:space="preserve">ody </w:t>
      </w:r>
      <w:r>
        <w:t>Designated Access Officers</w:t>
      </w:r>
      <w:r w:rsidR="00A036A2">
        <w:t xml:space="preserve"> (DAO)</w:t>
      </w:r>
      <w:r>
        <w:t xml:space="preserve"> to understand th</w:t>
      </w:r>
      <w:r w:rsidR="0007428E">
        <w:t>e clarification process</w:t>
      </w:r>
      <w:r>
        <w:t xml:space="preserve">. </w:t>
      </w:r>
    </w:p>
    <w:p w14:paraId="5C586807" w14:textId="2258E9EF" w:rsidR="00443979" w:rsidRDefault="001C7765" w:rsidP="009C73AA">
      <w:pPr>
        <w:pStyle w:val="Heading1"/>
      </w:pPr>
      <w:r>
        <w:t>Why clarification may be requested</w:t>
      </w:r>
    </w:p>
    <w:p w14:paraId="481337C3" w14:textId="77777777" w:rsidR="00A036A2" w:rsidRPr="00A036A2" w:rsidRDefault="00A036A2" w:rsidP="00A036A2"/>
    <w:p w14:paraId="3B479010" w14:textId="2BCA7BCC" w:rsidR="00A036A2" w:rsidRDefault="00D904C0" w:rsidP="00A036A2">
      <w:pPr>
        <w:jc w:val="both"/>
      </w:pPr>
      <w:r>
        <w:t>When an access to information request is received, t</w:t>
      </w:r>
      <w:r w:rsidR="00A036A2">
        <w:t>he ATIPP O</w:t>
      </w:r>
      <w:r w:rsidR="000159C0">
        <w:t>ffice prioritizes working with A</w:t>
      </w:r>
      <w:r w:rsidR="00A036A2">
        <w:t xml:space="preserve">pplicants to assist them </w:t>
      </w:r>
      <w:r>
        <w:t>to formulate a request that will help them</w:t>
      </w:r>
      <w:r w:rsidR="00A036A2">
        <w:t xml:space="preserve"> receive the information they are looking for.</w:t>
      </w:r>
    </w:p>
    <w:p w14:paraId="6BB03A7C" w14:textId="02E8EC7D" w:rsidR="00C2025B" w:rsidRDefault="00C2025B" w:rsidP="00C2025B">
      <w:pPr>
        <w:jc w:val="both"/>
      </w:pPr>
      <w:r>
        <w:t>Applicants may not be fully aware of the details related to t</w:t>
      </w:r>
      <w:r w:rsidR="00C651E9">
        <w:t>he functions and operations of Public B</w:t>
      </w:r>
      <w:r>
        <w:t xml:space="preserve">odies and the process of gathering information for access requests. </w:t>
      </w:r>
      <w:r w:rsidR="00A036A2">
        <w:t xml:space="preserve"> </w:t>
      </w:r>
      <w:r>
        <w:t>An access request may</w:t>
      </w:r>
      <w:r w:rsidR="00A036A2">
        <w:t xml:space="preserve"> also</w:t>
      </w:r>
      <w:r>
        <w:t xml:space="preserve"> be submitted </w:t>
      </w:r>
      <w:r w:rsidR="000159C0">
        <w:t>by an A</w:t>
      </w:r>
      <w:r w:rsidR="00A036A2">
        <w:t xml:space="preserve">pplicant </w:t>
      </w:r>
      <w:r>
        <w:t xml:space="preserve">without the necessary details </w:t>
      </w:r>
      <w:r w:rsidR="00C651E9">
        <w:t>for a Public B</w:t>
      </w:r>
      <w:r w:rsidR="00A036A2">
        <w:t>ody’s Designated Access Officer</w:t>
      </w:r>
      <w:r>
        <w:t xml:space="preserve"> </w:t>
      </w:r>
      <w:r w:rsidR="00A036A2">
        <w:t xml:space="preserve">(DAO) to identify </w:t>
      </w:r>
      <w:r w:rsidR="009F4569">
        <w:t xml:space="preserve">specific </w:t>
      </w:r>
      <w:r w:rsidR="00A036A2">
        <w:t>responsive information.</w:t>
      </w:r>
    </w:p>
    <w:p w14:paraId="62C08634" w14:textId="62873B8F" w:rsidR="00A2032D" w:rsidRDefault="00A2032D" w:rsidP="00C2025B">
      <w:pPr>
        <w:jc w:val="both"/>
      </w:pPr>
      <w:r>
        <w:t>Clarifying the request</w:t>
      </w:r>
      <w:r w:rsidR="000159C0">
        <w:t xml:space="preserve"> helps the A</w:t>
      </w:r>
      <w:r w:rsidR="00C651E9">
        <w:t>pplicant and Public B</w:t>
      </w:r>
      <w:r w:rsidR="00565346">
        <w:t xml:space="preserve">ody </w:t>
      </w:r>
      <w:r w:rsidR="00BC517C">
        <w:t>sort out any misu</w:t>
      </w:r>
      <w:r w:rsidR="0065731A">
        <w:t>nderstood details and</w:t>
      </w:r>
      <w:r w:rsidR="00BC517C">
        <w:t xml:space="preserve"> </w:t>
      </w:r>
      <w:r w:rsidR="00A73EAC">
        <w:t>may reduce the possibility of</w:t>
      </w:r>
      <w:r w:rsidR="002B7374">
        <w:t xml:space="preserve"> fees</w:t>
      </w:r>
      <w:r w:rsidR="00565346">
        <w:t xml:space="preserve"> or </w:t>
      </w:r>
      <w:r w:rsidR="00A73EAC">
        <w:t xml:space="preserve">time </w:t>
      </w:r>
      <w:r w:rsidR="00565346">
        <w:t xml:space="preserve">extensions </w:t>
      </w:r>
      <w:r w:rsidR="00A73EAC">
        <w:t>to process the</w:t>
      </w:r>
      <w:r w:rsidR="00565346">
        <w:t xml:space="preserve"> request. </w:t>
      </w:r>
    </w:p>
    <w:p w14:paraId="0ADBC75B" w14:textId="2B2D8D6F" w:rsidR="00C651E9" w:rsidRDefault="00C651E9" w:rsidP="00C651E9">
      <w:pPr>
        <w:pStyle w:val="Heading1"/>
      </w:pPr>
      <w:r>
        <w:t>Timeline</w:t>
      </w:r>
      <w:r w:rsidR="00D904C0">
        <w:t xml:space="preserve"> (Business Days)</w:t>
      </w:r>
    </w:p>
    <w:p w14:paraId="0EE96D1C" w14:textId="1417EFD7" w:rsidR="0065731A" w:rsidRDefault="0065731A" w:rsidP="00C2025B">
      <w:pPr>
        <w:jc w:val="both"/>
      </w:pPr>
    </w:p>
    <w:p w14:paraId="7558C53F" w14:textId="6DE924B5" w:rsidR="000159C0" w:rsidRDefault="000159C0" w:rsidP="00C2025B">
      <w:pPr>
        <w:jc w:val="both"/>
      </w:pPr>
      <w:r>
        <w:rPr>
          <w:noProof/>
          <w:lang w:val="en-US"/>
        </w:rPr>
        <w:drawing>
          <wp:inline distT="0" distB="0" distL="0" distR="0" wp14:anchorId="243231C9" wp14:editId="0ED84EEB">
            <wp:extent cx="5848350" cy="1057275"/>
            <wp:effectExtent l="0" t="19050" r="0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A19BEC0" w14:textId="77777777" w:rsidR="00250C2A" w:rsidRDefault="002C6F2C" w:rsidP="00112B4C">
      <w:pPr>
        <w:pStyle w:val="Heading1"/>
      </w:pPr>
      <w:r>
        <w:t>Process</w:t>
      </w:r>
      <w:r w:rsidR="00563CDD" w:rsidRPr="00563CDD">
        <w:t xml:space="preserve"> for clarifying request</w:t>
      </w:r>
    </w:p>
    <w:p w14:paraId="58B7AEF4" w14:textId="575B5829" w:rsidR="00563CDD" w:rsidRDefault="0092089B" w:rsidP="00563CDD">
      <w:pPr>
        <w:pStyle w:val="ListParagraph"/>
        <w:numPr>
          <w:ilvl w:val="0"/>
          <w:numId w:val="2"/>
        </w:numPr>
        <w:jc w:val="both"/>
      </w:pPr>
      <w:r>
        <w:t xml:space="preserve">ATIPP Office </w:t>
      </w:r>
      <w:r w:rsidR="00563CDD">
        <w:t xml:space="preserve">receives </w:t>
      </w:r>
      <w:r w:rsidR="00E06116">
        <w:t xml:space="preserve">an access </w:t>
      </w:r>
      <w:r w:rsidR="00563CDD">
        <w:t>request and consults with</w:t>
      </w:r>
      <w:r w:rsidR="00E06116">
        <w:t xml:space="preserve"> the </w:t>
      </w:r>
      <w:r w:rsidR="00FF173E">
        <w:t>Designated Access Officer (</w:t>
      </w:r>
      <w:r w:rsidR="00E06116">
        <w:t>DAO</w:t>
      </w:r>
      <w:r w:rsidR="00FF173E">
        <w:t>)</w:t>
      </w:r>
      <w:r w:rsidR="00E06116">
        <w:t xml:space="preserve"> from the responsive</w:t>
      </w:r>
      <w:r w:rsidR="00C651E9">
        <w:t xml:space="preserve"> Public B</w:t>
      </w:r>
      <w:r w:rsidR="00563CDD">
        <w:t>ody</w:t>
      </w:r>
      <w:r w:rsidR="00E06116">
        <w:t xml:space="preserve"> </w:t>
      </w:r>
      <w:r w:rsidR="00563CDD">
        <w:t xml:space="preserve">to determine if clarification is needed. </w:t>
      </w:r>
    </w:p>
    <w:p w14:paraId="19BFB35D" w14:textId="38337FC5" w:rsidR="00563CDD" w:rsidRDefault="00C651E9" w:rsidP="00563CDD">
      <w:pPr>
        <w:pStyle w:val="ListParagraph"/>
        <w:numPr>
          <w:ilvl w:val="0"/>
          <w:numId w:val="2"/>
        </w:numPr>
        <w:jc w:val="both"/>
      </w:pPr>
      <w:r>
        <w:lastRenderedPageBreak/>
        <w:t>The Public B</w:t>
      </w:r>
      <w:r w:rsidR="00563CDD">
        <w:t xml:space="preserve">ody has </w:t>
      </w:r>
      <w:r w:rsidR="00563CDD" w:rsidRPr="00476978">
        <w:rPr>
          <w:b/>
        </w:rPr>
        <w:t>2 business days</w:t>
      </w:r>
      <w:r w:rsidR="00563CDD">
        <w:t xml:space="preserve"> to determine i</w:t>
      </w:r>
      <w:r w:rsidR="00E06116">
        <w:t>f</w:t>
      </w:r>
      <w:r w:rsidR="00563CDD">
        <w:t xml:space="preserve"> further clarification is </w:t>
      </w:r>
      <w:r w:rsidR="00E06116">
        <w:t>neede</w:t>
      </w:r>
      <w:r w:rsidR="000159C0">
        <w:t>d from the A</w:t>
      </w:r>
      <w:r w:rsidR="00563CDD">
        <w:t xml:space="preserve">pplicant. </w:t>
      </w:r>
    </w:p>
    <w:p w14:paraId="334E54AE" w14:textId="1CC1F6C2" w:rsidR="00FF173E" w:rsidRDefault="00563CDD" w:rsidP="00FF173E">
      <w:pPr>
        <w:pStyle w:val="ListParagraph"/>
        <w:numPr>
          <w:ilvl w:val="0"/>
          <w:numId w:val="2"/>
        </w:numPr>
        <w:jc w:val="both"/>
      </w:pPr>
      <w:r>
        <w:t>Once</w:t>
      </w:r>
      <w:r w:rsidR="002C6F2C">
        <w:t xml:space="preserve"> </w:t>
      </w:r>
      <w:r w:rsidR="00074FA8">
        <w:t xml:space="preserve">the DAO identifies what needs to be expanded on or is missing, </w:t>
      </w:r>
      <w:r w:rsidR="002C6F2C">
        <w:t>a request for clarification is</w:t>
      </w:r>
      <w:r>
        <w:t xml:space="preserve"> </w:t>
      </w:r>
      <w:r w:rsidR="00074FA8">
        <w:t>made</w:t>
      </w:r>
      <w:r w:rsidR="00C651E9">
        <w:t xml:space="preserve"> by the P</w:t>
      </w:r>
      <w:r>
        <w:t>ub</w:t>
      </w:r>
      <w:r w:rsidR="00C651E9">
        <w:t>lic B</w:t>
      </w:r>
      <w:r w:rsidR="00FF173E">
        <w:t>ody</w:t>
      </w:r>
      <w:r w:rsidR="0053729F">
        <w:t xml:space="preserve"> and</w:t>
      </w:r>
      <w:r w:rsidR="0092089B">
        <w:t xml:space="preserve"> the ATIPP Office </w:t>
      </w:r>
      <w:r>
        <w:t>will com</w:t>
      </w:r>
      <w:r w:rsidR="0053729F">
        <w:t>municate to the</w:t>
      </w:r>
      <w:r w:rsidR="000159C0">
        <w:t xml:space="preserve"> A</w:t>
      </w:r>
      <w:r w:rsidR="0053729F">
        <w:t>pplicant the r</w:t>
      </w:r>
      <w:r>
        <w:t xml:space="preserve">equest for clarification. </w:t>
      </w:r>
    </w:p>
    <w:p w14:paraId="54CB6919" w14:textId="2750AB1D" w:rsidR="00DF3411" w:rsidRDefault="00FF173E" w:rsidP="0007428E">
      <w:pPr>
        <w:pStyle w:val="ListParagraph"/>
        <w:numPr>
          <w:ilvl w:val="0"/>
          <w:numId w:val="2"/>
        </w:numPr>
        <w:jc w:val="both"/>
      </w:pPr>
      <w:r>
        <w:t>The A</w:t>
      </w:r>
      <w:r w:rsidR="00DF3411">
        <w:t>pplicant has opportunity to not only respond to any que</w:t>
      </w:r>
      <w:r w:rsidR="00C651E9">
        <w:t>stions the Public B</w:t>
      </w:r>
      <w:r>
        <w:t>ody has</w:t>
      </w:r>
      <w:r w:rsidR="00BB6D5E">
        <w:t>,</w:t>
      </w:r>
      <w:r w:rsidR="00DF3411">
        <w:t xml:space="preserve"> but also to</w:t>
      </w:r>
      <w:r w:rsidR="00C651E9">
        <w:t xml:space="preserve"> ask the Public B</w:t>
      </w:r>
      <w:r w:rsidR="000159C0">
        <w:t>ody any questions the A</w:t>
      </w:r>
      <w:r>
        <w:t>pplicant has that will help them find the specific information they want.</w:t>
      </w:r>
      <w:r w:rsidR="0007428E">
        <w:t xml:space="preserve">  </w:t>
      </w:r>
      <w:r w:rsidR="0007428E">
        <w:t>The A</w:t>
      </w:r>
      <w:r w:rsidR="0007428E">
        <w:t>pplicant may</w:t>
      </w:r>
      <w:r w:rsidR="0007428E">
        <w:t xml:space="preserve"> choose to communicate </w:t>
      </w:r>
      <w:r w:rsidR="0007428E">
        <w:t xml:space="preserve">through the ATIPP Office or </w:t>
      </w:r>
      <w:r w:rsidR="0007428E">
        <w:t>directly with the DAO of the Public Body.</w:t>
      </w:r>
    </w:p>
    <w:p w14:paraId="411814F1" w14:textId="115400DF" w:rsidR="00FF173E" w:rsidRDefault="00FF173E" w:rsidP="00FF173E">
      <w:pPr>
        <w:pStyle w:val="ListParagraph"/>
        <w:numPr>
          <w:ilvl w:val="0"/>
          <w:numId w:val="2"/>
        </w:numPr>
        <w:jc w:val="both"/>
      </w:pPr>
      <w:r>
        <w:t>The Applicant may choose to:</w:t>
      </w:r>
    </w:p>
    <w:p w14:paraId="54E14EF9" w14:textId="77777777" w:rsidR="004C5887" w:rsidRDefault="004C5887" w:rsidP="00DF3411">
      <w:pPr>
        <w:pStyle w:val="ListParagraph"/>
        <w:numPr>
          <w:ilvl w:val="2"/>
          <w:numId w:val="2"/>
        </w:numPr>
        <w:jc w:val="both"/>
      </w:pPr>
      <w:r>
        <w:t>Provide more context;</w:t>
      </w:r>
    </w:p>
    <w:p w14:paraId="00E1B74E" w14:textId="35DA375E" w:rsidR="00DF3411" w:rsidRDefault="00DF3411" w:rsidP="00817403">
      <w:pPr>
        <w:pStyle w:val="ListParagraph"/>
        <w:numPr>
          <w:ilvl w:val="2"/>
          <w:numId w:val="2"/>
        </w:numPr>
        <w:jc w:val="both"/>
      </w:pPr>
      <w:r>
        <w:t>Narrow scope of request</w:t>
      </w:r>
      <w:r w:rsidR="00FF173E">
        <w:t>;</w:t>
      </w:r>
    </w:p>
    <w:p w14:paraId="02899BC1" w14:textId="37604B46" w:rsidR="0007428E" w:rsidRDefault="00FF173E" w:rsidP="0007428E">
      <w:pPr>
        <w:pStyle w:val="ListParagraph"/>
        <w:numPr>
          <w:ilvl w:val="2"/>
          <w:numId w:val="2"/>
        </w:numPr>
        <w:jc w:val="both"/>
      </w:pPr>
      <w:r>
        <w:t>Submit their request unalt</w:t>
      </w:r>
      <w:r w:rsidR="0007428E">
        <w:t>ered.</w:t>
      </w:r>
    </w:p>
    <w:p w14:paraId="7A2BBA5E" w14:textId="3143DE52" w:rsidR="008B6323" w:rsidRDefault="00C651E9" w:rsidP="008B6323">
      <w:pPr>
        <w:pStyle w:val="ListParagraph"/>
        <w:numPr>
          <w:ilvl w:val="0"/>
          <w:numId w:val="2"/>
        </w:numPr>
        <w:jc w:val="both"/>
      </w:pPr>
      <w:r>
        <w:t>If the Applicant and the P</w:t>
      </w:r>
      <w:r w:rsidR="00FF173E">
        <w:t>ubli</w:t>
      </w:r>
      <w:r>
        <w:t>c B</w:t>
      </w:r>
      <w:r w:rsidR="004C5887">
        <w:t xml:space="preserve">ody are able to better clarify the request through consultation the </w:t>
      </w:r>
      <w:r w:rsidR="009F4569">
        <w:t>Access and Privacy Officer (</w:t>
      </w:r>
      <w:r w:rsidR="004C5887">
        <w:t>APO</w:t>
      </w:r>
      <w:r w:rsidR="009F4569">
        <w:t>)</w:t>
      </w:r>
      <w:r w:rsidR="004C5887">
        <w:t xml:space="preserve"> will formally accept the</w:t>
      </w:r>
      <w:r w:rsidR="00A919C2">
        <w:t xml:space="preserve"> clarified</w:t>
      </w:r>
      <w:r w:rsidR="004C5887">
        <w:t xml:space="preserve"> request.</w:t>
      </w:r>
    </w:p>
    <w:p w14:paraId="74830EF0" w14:textId="60945693" w:rsidR="006A1947" w:rsidRDefault="00E762D2" w:rsidP="008B6323">
      <w:pPr>
        <w:pStyle w:val="ListParagraph"/>
        <w:numPr>
          <w:ilvl w:val="0"/>
          <w:numId w:val="2"/>
        </w:numPr>
        <w:jc w:val="both"/>
      </w:pPr>
      <w:r>
        <w:t>I</w:t>
      </w:r>
      <w:r w:rsidR="006A1947">
        <w:t xml:space="preserve">f the APO </w:t>
      </w:r>
      <w:r>
        <w:t>in consultation with the</w:t>
      </w:r>
      <w:r w:rsidR="000159C0">
        <w:t xml:space="preserve"> A</w:t>
      </w:r>
      <w:r w:rsidR="006A1947">
        <w:t>pplica</w:t>
      </w:r>
      <w:r w:rsidR="00C651E9">
        <w:t>nt and the Public B</w:t>
      </w:r>
      <w:r>
        <w:t>ody</w:t>
      </w:r>
      <w:r w:rsidR="006A1947">
        <w:t xml:space="preserve"> are unable to resolve any reque</w:t>
      </w:r>
      <w:r w:rsidR="00D904C0">
        <w:t>sts for clarification</w:t>
      </w:r>
      <w:r w:rsidR="00FF173E">
        <w:t xml:space="preserve"> the APO will make a decision to accept the request as it stands or refuse the request.</w:t>
      </w:r>
      <w:r w:rsidR="00D904C0">
        <w:t xml:space="preserve">  T</w:t>
      </w:r>
      <w:r w:rsidR="00A919C2">
        <w:t xml:space="preserve">he </w:t>
      </w:r>
      <w:r w:rsidR="00D904C0">
        <w:t xml:space="preserve">APO </w:t>
      </w:r>
      <w:r w:rsidR="00A919C2">
        <w:t>will make this decision as soon as it is appar</w:t>
      </w:r>
      <w:r w:rsidR="0007428E">
        <w:t>ent that consultation is not productive</w:t>
      </w:r>
      <w:bookmarkStart w:id="0" w:name="_GoBack"/>
      <w:bookmarkEnd w:id="0"/>
      <w:r w:rsidR="00A919C2">
        <w:t>, but not later than</w:t>
      </w:r>
      <w:r w:rsidR="00D904C0">
        <w:t xml:space="preserve"> </w:t>
      </w:r>
      <w:r w:rsidR="00D904C0" w:rsidRPr="00D904C0">
        <w:rPr>
          <w:b/>
        </w:rPr>
        <w:t>10 business days</w:t>
      </w:r>
      <w:r w:rsidR="00D904C0">
        <w:t xml:space="preserve"> after an access request is submitted.</w:t>
      </w:r>
    </w:p>
    <w:p w14:paraId="795F349B" w14:textId="33760B7E" w:rsidR="00FF173E" w:rsidRDefault="00476978" w:rsidP="00FF173E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r w:rsidR="00FF173E">
        <w:t>Applicant is provided a notice of acceptance and response due date</w:t>
      </w:r>
      <w:r w:rsidR="004C5887">
        <w:t>, or a notice of refusal</w:t>
      </w:r>
      <w:r>
        <w:t xml:space="preserve"> with reasons for the refusal</w:t>
      </w:r>
      <w:r w:rsidR="00FF173E">
        <w:t>.</w:t>
      </w:r>
    </w:p>
    <w:p w14:paraId="02331FFF" w14:textId="3034F8C5" w:rsidR="00A036A2" w:rsidRDefault="004C5887" w:rsidP="00A036A2">
      <w:pPr>
        <w:pStyle w:val="Heading1"/>
      </w:pPr>
      <w:r>
        <w:t>Examples</w:t>
      </w:r>
    </w:p>
    <w:p w14:paraId="7E5F3700" w14:textId="77777777" w:rsidR="00A036A2" w:rsidRPr="0065731A" w:rsidRDefault="00A036A2" w:rsidP="00A036A2"/>
    <w:p w14:paraId="271EA83B" w14:textId="7FAFBC25" w:rsidR="004C5887" w:rsidRDefault="004C5887" w:rsidP="00A036A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 request for information is made about correspondence and records relating to a particular incident that occurred in a government office.  Timeframe is for 2 years of records.</w:t>
      </w:r>
    </w:p>
    <w:p w14:paraId="13D1E429" w14:textId="31A42767" w:rsidR="004C5887" w:rsidRPr="004C5887" w:rsidRDefault="004C5887" w:rsidP="004C5887">
      <w:pPr>
        <w:pStyle w:val="ListParagraph"/>
        <w:numPr>
          <w:ilvl w:val="0"/>
          <w:numId w:val="8"/>
        </w:numPr>
        <w:rPr>
          <w:b/>
        </w:rPr>
      </w:pPr>
      <w:r>
        <w:t>During consultation the Applicant explains that the timeframe is needed because they are unsure when the incident occurred, but that it was sometime in the past two years.</w:t>
      </w:r>
    </w:p>
    <w:p w14:paraId="61D097AC" w14:textId="2DDBB390" w:rsidR="004C5887" w:rsidRPr="002B7374" w:rsidRDefault="00C651E9" w:rsidP="004C5887">
      <w:pPr>
        <w:pStyle w:val="ListParagraph"/>
        <w:numPr>
          <w:ilvl w:val="0"/>
          <w:numId w:val="8"/>
        </w:numPr>
        <w:rPr>
          <w:b/>
        </w:rPr>
      </w:pPr>
      <w:r>
        <w:t>The Public B</w:t>
      </w:r>
      <w:r w:rsidR="004C5887">
        <w:t>ody is able to identify the exact date on which the incident occurred and the date on which a report on the incident was filed.</w:t>
      </w:r>
    </w:p>
    <w:p w14:paraId="103598C1" w14:textId="5AFA5429" w:rsidR="00A036A2" w:rsidRPr="00AC5284" w:rsidRDefault="000159C0" w:rsidP="002B7374">
      <w:pPr>
        <w:pStyle w:val="ListParagraph"/>
        <w:numPr>
          <w:ilvl w:val="0"/>
          <w:numId w:val="8"/>
        </w:numPr>
        <w:rPr>
          <w:b/>
        </w:rPr>
      </w:pPr>
      <w:r>
        <w:t>The A</w:t>
      </w:r>
      <w:r w:rsidR="00C651E9">
        <w:t>pplicant and the Public B</w:t>
      </w:r>
      <w:r w:rsidR="002B7374">
        <w:t>ody agree to shorten the time frame to the period between the date the incident occurred and 6 months after the report was filed.</w:t>
      </w:r>
    </w:p>
    <w:p w14:paraId="2FFA975E" w14:textId="77777777" w:rsidR="00AC5284" w:rsidRPr="00AC5284" w:rsidRDefault="00AC5284" w:rsidP="00AC5284">
      <w:pPr>
        <w:pStyle w:val="ListParagraph"/>
        <w:ind w:left="1080"/>
        <w:rPr>
          <w:b/>
        </w:rPr>
      </w:pPr>
    </w:p>
    <w:p w14:paraId="38DBDED3" w14:textId="4CA78844" w:rsidR="00AC5284" w:rsidRPr="00AC5284" w:rsidRDefault="00AC5284" w:rsidP="00AC5284">
      <w:pPr>
        <w:pStyle w:val="ListParagraph"/>
        <w:numPr>
          <w:ilvl w:val="0"/>
          <w:numId w:val="13"/>
        </w:numPr>
        <w:jc w:val="both"/>
        <w:rPr>
          <w:b/>
        </w:rPr>
      </w:pPr>
      <w:r w:rsidRPr="00AC5284">
        <w:rPr>
          <w:b/>
        </w:rPr>
        <w:lastRenderedPageBreak/>
        <w:t>A request for all information about the management of game animals in a particular region over the past 5 years</w:t>
      </w:r>
    </w:p>
    <w:p w14:paraId="21B1B2E6" w14:textId="40E49034" w:rsidR="002B7374" w:rsidRPr="002B7374" w:rsidRDefault="00C651E9" w:rsidP="002B7374">
      <w:pPr>
        <w:pStyle w:val="ListParagraph"/>
        <w:numPr>
          <w:ilvl w:val="0"/>
          <w:numId w:val="9"/>
        </w:numPr>
        <w:jc w:val="both"/>
        <w:rPr>
          <w:b/>
        </w:rPr>
      </w:pPr>
      <w:r>
        <w:t>The Public B</w:t>
      </w:r>
      <w:r w:rsidR="002B7374">
        <w:t>ody is able to provide a sample of the types of records this search would produce.  These include correspondence, reports and multiple drafts of these reports, media talking points</w:t>
      </w:r>
      <w:r w:rsidR="00314858">
        <w:t xml:space="preserve">, information in a database </w:t>
      </w:r>
      <w:r w:rsidR="002B7374">
        <w:t>an</w:t>
      </w:r>
      <w:r w:rsidR="00314858">
        <w:t>d briefing notes</w:t>
      </w:r>
      <w:r w:rsidR="002B7374">
        <w:t>.  There is a large volume of material a</w:t>
      </w:r>
      <w:r>
        <w:t>nd the Public Body advises the A</w:t>
      </w:r>
      <w:r w:rsidR="002B7374">
        <w:t>pplicant that a fee is likely to be charged.</w:t>
      </w:r>
    </w:p>
    <w:p w14:paraId="7E319BA5" w14:textId="7A44D221" w:rsidR="002B7374" w:rsidRPr="00314858" w:rsidRDefault="002B7374" w:rsidP="002B7374">
      <w:pPr>
        <w:pStyle w:val="ListParagraph"/>
        <w:numPr>
          <w:ilvl w:val="0"/>
          <w:numId w:val="9"/>
        </w:numPr>
        <w:jc w:val="both"/>
        <w:rPr>
          <w:b/>
        </w:rPr>
      </w:pPr>
      <w:r>
        <w:t>During disc</w:t>
      </w:r>
      <w:r w:rsidR="00C651E9">
        <w:t>ussions with the Applicant the Public B</w:t>
      </w:r>
      <w:r>
        <w:t>ody determines that the</w:t>
      </w:r>
      <w:r w:rsidR="000159C0">
        <w:t xml:space="preserve"> A</w:t>
      </w:r>
      <w:r w:rsidR="00314858">
        <w:t>pplicant is most interested in the number of each type of animal harvested in the region under each type of permit.</w:t>
      </w:r>
    </w:p>
    <w:p w14:paraId="3F6CBFCC" w14:textId="20B3F23B" w:rsidR="00314858" w:rsidRPr="002B7374" w:rsidRDefault="00C651E9" w:rsidP="002B7374">
      <w:pPr>
        <w:pStyle w:val="ListParagraph"/>
        <w:numPr>
          <w:ilvl w:val="0"/>
          <w:numId w:val="9"/>
        </w:numPr>
        <w:jc w:val="both"/>
        <w:rPr>
          <w:b/>
        </w:rPr>
      </w:pPr>
      <w:r>
        <w:t>The Applicant and the Public B</w:t>
      </w:r>
      <w:r w:rsidR="00314858">
        <w:t>ody a</w:t>
      </w:r>
      <w:r>
        <w:t>gree a record created from the Public B</w:t>
      </w:r>
      <w:r w:rsidR="00314858">
        <w:t>ody’s database with this information will meet the Applicant’s needs.  The volume of the request is reduced and no fees are charged.</w:t>
      </w:r>
    </w:p>
    <w:p w14:paraId="5C5BF42E" w14:textId="77777777" w:rsidR="00A036A2" w:rsidRDefault="00A036A2" w:rsidP="00A036A2">
      <w:pPr>
        <w:pStyle w:val="ListParagraph"/>
        <w:jc w:val="both"/>
      </w:pPr>
    </w:p>
    <w:p w14:paraId="1527C4AE" w14:textId="18C52FD9" w:rsidR="009F4569" w:rsidRDefault="000159C0" w:rsidP="00AC5284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The A</w:t>
      </w:r>
      <w:r w:rsidR="00A036A2" w:rsidRPr="00DB04CD">
        <w:rPr>
          <w:b/>
        </w:rPr>
        <w:t xml:space="preserve">pplicant </w:t>
      </w:r>
      <w:r w:rsidR="009F4569">
        <w:rPr>
          <w:b/>
        </w:rPr>
        <w:t xml:space="preserve">is very concerned that the government does not properly protect citizens’ personal information.  They </w:t>
      </w:r>
      <w:r w:rsidR="00C651E9">
        <w:rPr>
          <w:b/>
        </w:rPr>
        <w:t xml:space="preserve">want </w:t>
      </w:r>
      <w:r w:rsidR="009F4569">
        <w:rPr>
          <w:b/>
        </w:rPr>
        <w:t>all records that show information has been improperly treated.</w:t>
      </w:r>
    </w:p>
    <w:p w14:paraId="20781CE0" w14:textId="61544B61" w:rsidR="009F4569" w:rsidRPr="00432CEB" w:rsidRDefault="009F4569" w:rsidP="009F4569">
      <w:pPr>
        <w:pStyle w:val="ListParagraph"/>
        <w:numPr>
          <w:ilvl w:val="0"/>
          <w:numId w:val="10"/>
        </w:numPr>
        <w:rPr>
          <w:b/>
        </w:rPr>
      </w:pPr>
      <w:r>
        <w:t>During consultation the Applicant is made aware that privacy breach reporting is mandatory under the ATIPP Act and that summaries of these breaches must be published on-line.</w:t>
      </w:r>
    </w:p>
    <w:p w14:paraId="541D221A" w14:textId="77777777" w:rsidR="00D77472" w:rsidRPr="00D77472" w:rsidRDefault="00432CEB" w:rsidP="009F4569">
      <w:pPr>
        <w:pStyle w:val="ListParagraph"/>
        <w:numPr>
          <w:ilvl w:val="0"/>
          <w:numId w:val="10"/>
        </w:numPr>
        <w:rPr>
          <w:b/>
        </w:rPr>
      </w:pPr>
      <w:r>
        <w:t xml:space="preserve">The Applicant is able to identify from the on-line summaries a list of privacy breach reports they are interested in.  </w:t>
      </w:r>
      <w:r w:rsidR="00C651E9">
        <w:t>The request is changed and the Public B</w:t>
      </w:r>
      <w:r>
        <w:t xml:space="preserve">ody provides copies of these specific reports that have had any third party </w:t>
      </w:r>
    </w:p>
    <w:p w14:paraId="79DCA991" w14:textId="5CB87DD6" w:rsidR="00432CEB" w:rsidRPr="00D77472" w:rsidRDefault="00432CEB" w:rsidP="009F4569">
      <w:pPr>
        <w:pStyle w:val="ListParagraph"/>
        <w:numPr>
          <w:ilvl w:val="0"/>
          <w:numId w:val="10"/>
        </w:numPr>
        <w:rPr>
          <w:b/>
        </w:rPr>
      </w:pPr>
      <w:r>
        <w:t>personal information redacted.</w:t>
      </w:r>
    </w:p>
    <w:p w14:paraId="2CC06584" w14:textId="77777777" w:rsidR="00D77472" w:rsidRDefault="00D77472" w:rsidP="00D77472">
      <w:pPr>
        <w:pStyle w:val="ListParagraph"/>
        <w:ind w:left="1440"/>
        <w:rPr>
          <w:b/>
        </w:rPr>
      </w:pPr>
    </w:p>
    <w:p w14:paraId="0B468287" w14:textId="638E73EA" w:rsidR="00432CEB" w:rsidRDefault="00A036A2" w:rsidP="00432CEB">
      <w:pPr>
        <w:pStyle w:val="Heading1"/>
      </w:pPr>
      <w:r w:rsidRPr="00432CEB">
        <w:rPr>
          <w:b/>
        </w:rPr>
        <w:t xml:space="preserve"> </w:t>
      </w:r>
      <w:r w:rsidR="000159C0">
        <w:t>Things to c</w:t>
      </w:r>
      <w:r w:rsidR="005C44AD">
        <w:t>onsider</w:t>
      </w:r>
    </w:p>
    <w:p w14:paraId="4F927EC4" w14:textId="323DD658" w:rsidR="005C44AD" w:rsidRDefault="005C44AD" w:rsidP="005C44AD"/>
    <w:p w14:paraId="12AFC084" w14:textId="495749F4" w:rsidR="005C44AD" w:rsidRDefault="005C44AD" w:rsidP="004B5006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A request for information may be better broken down into multiple, separate requests.</w:t>
      </w:r>
      <w:r w:rsidR="004B5006">
        <w:rPr>
          <w:b/>
        </w:rPr>
        <w:t xml:space="preserve">  This is especially true if different parts of the request will go to different p</w:t>
      </w:r>
      <w:r w:rsidR="00C651E9">
        <w:rPr>
          <w:b/>
        </w:rPr>
        <w:t>rogram areas or staff within a Public B</w:t>
      </w:r>
      <w:r w:rsidR="004B5006">
        <w:rPr>
          <w:b/>
        </w:rPr>
        <w:t>ody.  It can also be helpful when there are different timeframes associated with different subjects of interest.</w:t>
      </w:r>
    </w:p>
    <w:p w14:paraId="318044BA" w14:textId="642805AA" w:rsidR="004B5006" w:rsidRDefault="004B5006" w:rsidP="004B5006">
      <w:pPr>
        <w:pStyle w:val="ListParagraph"/>
        <w:rPr>
          <w:b/>
        </w:rPr>
      </w:pPr>
    </w:p>
    <w:p w14:paraId="6E6E4351" w14:textId="4EEEE04F" w:rsidR="00D77472" w:rsidRDefault="00D77472" w:rsidP="004B5006">
      <w:pPr>
        <w:pStyle w:val="ListParagraph"/>
        <w:rPr>
          <w:b/>
        </w:rPr>
      </w:pPr>
    </w:p>
    <w:p w14:paraId="3D2028F7" w14:textId="77777777" w:rsidR="00D77472" w:rsidRDefault="00D77472" w:rsidP="004B5006">
      <w:pPr>
        <w:pStyle w:val="ListParagraph"/>
        <w:rPr>
          <w:b/>
        </w:rPr>
      </w:pPr>
    </w:p>
    <w:p w14:paraId="06ABBB4B" w14:textId="45EF1C9A" w:rsidR="004B5006" w:rsidRPr="000159C0" w:rsidRDefault="004B5006" w:rsidP="000159C0">
      <w:pPr>
        <w:ind w:left="720"/>
        <w:rPr>
          <w:b/>
        </w:rPr>
      </w:pPr>
      <w:r w:rsidRPr="000159C0">
        <w:rPr>
          <w:b/>
        </w:rPr>
        <w:t>This table can assist determining if breaking a request into multiple parts is useful.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618"/>
        <w:gridCol w:w="1843"/>
        <w:gridCol w:w="2268"/>
        <w:gridCol w:w="3000"/>
      </w:tblGrid>
      <w:tr w:rsidR="00AC5284" w14:paraId="5C659B88" w14:textId="77777777" w:rsidTr="00AC5284">
        <w:tc>
          <w:tcPr>
            <w:tcW w:w="362" w:type="dxa"/>
            <w:shd w:val="clear" w:color="auto" w:fill="D9D9D9" w:themeFill="background1" w:themeFillShade="D9"/>
          </w:tcPr>
          <w:p w14:paraId="4215FCB8" w14:textId="77777777" w:rsidR="00AC5284" w:rsidRDefault="00AC5284" w:rsidP="009C6C1F">
            <w:pPr>
              <w:jc w:val="center"/>
            </w:pPr>
          </w:p>
        </w:tc>
        <w:tc>
          <w:tcPr>
            <w:tcW w:w="1618" w:type="dxa"/>
            <w:shd w:val="clear" w:color="auto" w:fill="D9D9D9" w:themeFill="background1" w:themeFillShade="D9"/>
          </w:tcPr>
          <w:p w14:paraId="608CFEAD" w14:textId="77777777" w:rsidR="00AC5284" w:rsidRPr="00AC5284" w:rsidRDefault="00AC5284" w:rsidP="00AC5284">
            <w:pPr>
              <w:jc w:val="center"/>
              <w:rPr>
                <w:b/>
              </w:rPr>
            </w:pPr>
            <w:r w:rsidRPr="00AC5284">
              <w:rPr>
                <w:b/>
              </w:rPr>
              <w:t>Subject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1318E7" w14:textId="156BB49B" w:rsidR="00AC5284" w:rsidRPr="00AC5284" w:rsidRDefault="00AC5284" w:rsidP="00AC5284">
            <w:pPr>
              <w:jc w:val="center"/>
              <w:rPr>
                <w:b/>
              </w:rPr>
            </w:pPr>
            <w:r w:rsidRPr="00AC5284">
              <w:rPr>
                <w:b/>
              </w:rPr>
              <w:t>Timeframe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3AF1888" w14:textId="77777777" w:rsidR="00AC5284" w:rsidRPr="00AC5284" w:rsidRDefault="00AC5284" w:rsidP="00AC5284">
            <w:pPr>
              <w:jc w:val="center"/>
              <w:rPr>
                <w:b/>
              </w:rPr>
            </w:pPr>
            <w:r w:rsidRPr="00AC5284">
              <w:rPr>
                <w:b/>
              </w:rPr>
              <w:t>Info Type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F4CDF3E" w14:textId="77777777" w:rsidR="00AC5284" w:rsidRPr="00AC5284" w:rsidRDefault="00AC5284" w:rsidP="00AC5284">
            <w:pPr>
              <w:jc w:val="center"/>
              <w:rPr>
                <w:b/>
              </w:rPr>
            </w:pPr>
            <w:r w:rsidRPr="00AC5284">
              <w:rPr>
                <w:b/>
              </w:rPr>
              <w:t>Program/Activity/Employee</w:t>
            </w:r>
          </w:p>
        </w:tc>
      </w:tr>
      <w:tr w:rsidR="00AC5284" w14:paraId="5AD53F80" w14:textId="77777777" w:rsidTr="00AC5284">
        <w:tc>
          <w:tcPr>
            <w:tcW w:w="362" w:type="dxa"/>
            <w:shd w:val="clear" w:color="auto" w:fill="D9D9D9" w:themeFill="background1" w:themeFillShade="D9"/>
          </w:tcPr>
          <w:p w14:paraId="410C8DB1" w14:textId="77777777" w:rsidR="00AC5284" w:rsidRDefault="00AC5284" w:rsidP="009C6C1F">
            <w:r>
              <w:lastRenderedPageBreak/>
              <w:t>1</w:t>
            </w:r>
          </w:p>
        </w:tc>
        <w:tc>
          <w:tcPr>
            <w:tcW w:w="1618" w:type="dxa"/>
          </w:tcPr>
          <w:p w14:paraId="19A49E9D" w14:textId="77777777" w:rsidR="00AC5284" w:rsidRDefault="00AC5284" w:rsidP="009C6C1F"/>
        </w:tc>
        <w:tc>
          <w:tcPr>
            <w:tcW w:w="1843" w:type="dxa"/>
          </w:tcPr>
          <w:p w14:paraId="5B65A24F" w14:textId="77777777" w:rsidR="00AC5284" w:rsidRDefault="00AC5284" w:rsidP="009C6C1F"/>
        </w:tc>
        <w:tc>
          <w:tcPr>
            <w:tcW w:w="2268" w:type="dxa"/>
          </w:tcPr>
          <w:p w14:paraId="65109028" w14:textId="77777777" w:rsidR="00AC5284" w:rsidRDefault="00AC5284" w:rsidP="009C6C1F"/>
        </w:tc>
        <w:tc>
          <w:tcPr>
            <w:tcW w:w="2976" w:type="dxa"/>
          </w:tcPr>
          <w:p w14:paraId="4777381B" w14:textId="77777777" w:rsidR="00AC5284" w:rsidRDefault="00AC5284" w:rsidP="009C6C1F"/>
        </w:tc>
      </w:tr>
      <w:tr w:rsidR="00AC5284" w14:paraId="562E98F0" w14:textId="77777777" w:rsidTr="00AC5284">
        <w:tc>
          <w:tcPr>
            <w:tcW w:w="362" w:type="dxa"/>
            <w:shd w:val="clear" w:color="auto" w:fill="D9D9D9" w:themeFill="background1" w:themeFillShade="D9"/>
          </w:tcPr>
          <w:p w14:paraId="41F20809" w14:textId="77777777" w:rsidR="00AC5284" w:rsidRDefault="00AC5284" w:rsidP="009C6C1F">
            <w:r>
              <w:t>2</w:t>
            </w:r>
          </w:p>
        </w:tc>
        <w:tc>
          <w:tcPr>
            <w:tcW w:w="1618" w:type="dxa"/>
          </w:tcPr>
          <w:p w14:paraId="7D2B28BE" w14:textId="77777777" w:rsidR="00AC5284" w:rsidRDefault="00AC5284" w:rsidP="009C6C1F"/>
        </w:tc>
        <w:tc>
          <w:tcPr>
            <w:tcW w:w="1843" w:type="dxa"/>
          </w:tcPr>
          <w:p w14:paraId="7BC6FB4E" w14:textId="77777777" w:rsidR="00AC5284" w:rsidRDefault="00AC5284" w:rsidP="009C6C1F"/>
        </w:tc>
        <w:tc>
          <w:tcPr>
            <w:tcW w:w="2268" w:type="dxa"/>
          </w:tcPr>
          <w:p w14:paraId="1BA3C9F6" w14:textId="77777777" w:rsidR="00AC5284" w:rsidRDefault="00AC5284" w:rsidP="009C6C1F"/>
        </w:tc>
        <w:tc>
          <w:tcPr>
            <w:tcW w:w="2976" w:type="dxa"/>
          </w:tcPr>
          <w:p w14:paraId="7587A81F" w14:textId="77777777" w:rsidR="00AC5284" w:rsidRDefault="00AC5284" w:rsidP="009C6C1F"/>
        </w:tc>
      </w:tr>
      <w:tr w:rsidR="00AC5284" w14:paraId="3B45BD4C" w14:textId="77777777" w:rsidTr="00AC5284">
        <w:tc>
          <w:tcPr>
            <w:tcW w:w="362" w:type="dxa"/>
            <w:shd w:val="clear" w:color="auto" w:fill="D9D9D9" w:themeFill="background1" w:themeFillShade="D9"/>
          </w:tcPr>
          <w:p w14:paraId="54AE1A1C" w14:textId="77777777" w:rsidR="00AC5284" w:rsidRDefault="00AC5284" w:rsidP="009C6C1F">
            <w:r>
              <w:t>3</w:t>
            </w:r>
          </w:p>
        </w:tc>
        <w:tc>
          <w:tcPr>
            <w:tcW w:w="1618" w:type="dxa"/>
          </w:tcPr>
          <w:p w14:paraId="362C85BB" w14:textId="77777777" w:rsidR="00AC5284" w:rsidRDefault="00AC5284" w:rsidP="009C6C1F"/>
        </w:tc>
        <w:tc>
          <w:tcPr>
            <w:tcW w:w="1843" w:type="dxa"/>
          </w:tcPr>
          <w:p w14:paraId="65131D70" w14:textId="77777777" w:rsidR="00AC5284" w:rsidRDefault="00AC5284" w:rsidP="009C6C1F"/>
        </w:tc>
        <w:tc>
          <w:tcPr>
            <w:tcW w:w="2268" w:type="dxa"/>
          </w:tcPr>
          <w:p w14:paraId="295D4EF8" w14:textId="77777777" w:rsidR="00AC5284" w:rsidRDefault="00AC5284" w:rsidP="009C6C1F"/>
        </w:tc>
        <w:tc>
          <w:tcPr>
            <w:tcW w:w="2976" w:type="dxa"/>
          </w:tcPr>
          <w:p w14:paraId="7BAB4E8A" w14:textId="77777777" w:rsidR="00AC5284" w:rsidRDefault="00AC5284" w:rsidP="009C6C1F"/>
        </w:tc>
      </w:tr>
      <w:tr w:rsidR="00AC5284" w14:paraId="06355AA3" w14:textId="77777777" w:rsidTr="00AC5284">
        <w:tc>
          <w:tcPr>
            <w:tcW w:w="362" w:type="dxa"/>
            <w:shd w:val="clear" w:color="auto" w:fill="D9D9D9" w:themeFill="background1" w:themeFillShade="D9"/>
          </w:tcPr>
          <w:p w14:paraId="7D7BD643" w14:textId="77777777" w:rsidR="00AC5284" w:rsidRDefault="00AC5284" w:rsidP="009C6C1F">
            <w:r>
              <w:t>4</w:t>
            </w:r>
          </w:p>
        </w:tc>
        <w:tc>
          <w:tcPr>
            <w:tcW w:w="1618" w:type="dxa"/>
          </w:tcPr>
          <w:p w14:paraId="12D7B763" w14:textId="77777777" w:rsidR="00AC5284" w:rsidRDefault="00AC5284" w:rsidP="009C6C1F"/>
        </w:tc>
        <w:tc>
          <w:tcPr>
            <w:tcW w:w="1843" w:type="dxa"/>
          </w:tcPr>
          <w:p w14:paraId="78A30BEE" w14:textId="77777777" w:rsidR="00AC5284" w:rsidRDefault="00AC5284" w:rsidP="009C6C1F"/>
        </w:tc>
        <w:tc>
          <w:tcPr>
            <w:tcW w:w="2268" w:type="dxa"/>
          </w:tcPr>
          <w:p w14:paraId="220DA7CB" w14:textId="77777777" w:rsidR="00AC5284" w:rsidRDefault="00AC5284" w:rsidP="009C6C1F"/>
        </w:tc>
        <w:tc>
          <w:tcPr>
            <w:tcW w:w="2976" w:type="dxa"/>
          </w:tcPr>
          <w:p w14:paraId="00EAD3D1" w14:textId="77777777" w:rsidR="00AC5284" w:rsidRDefault="00AC5284" w:rsidP="009C6C1F"/>
        </w:tc>
      </w:tr>
      <w:tr w:rsidR="00AC5284" w14:paraId="1254FEFF" w14:textId="77777777" w:rsidTr="00AC5284">
        <w:tc>
          <w:tcPr>
            <w:tcW w:w="362" w:type="dxa"/>
            <w:shd w:val="clear" w:color="auto" w:fill="D9D9D9" w:themeFill="background1" w:themeFillShade="D9"/>
          </w:tcPr>
          <w:p w14:paraId="47E2DC22" w14:textId="77777777" w:rsidR="00AC5284" w:rsidRDefault="00AC5284" w:rsidP="009C6C1F">
            <w:r>
              <w:t>5</w:t>
            </w:r>
          </w:p>
        </w:tc>
        <w:tc>
          <w:tcPr>
            <w:tcW w:w="1618" w:type="dxa"/>
          </w:tcPr>
          <w:p w14:paraId="6523D1AD" w14:textId="77777777" w:rsidR="00AC5284" w:rsidRDefault="00AC5284" w:rsidP="009C6C1F"/>
        </w:tc>
        <w:tc>
          <w:tcPr>
            <w:tcW w:w="1843" w:type="dxa"/>
          </w:tcPr>
          <w:p w14:paraId="2A2FC512" w14:textId="77777777" w:rsidR="00AC5284" w:rsidRDefault="00AC5284" w:rsidP="009C6C1F"/>
        </w:tc>
        <w:tc>
          <w:tcPr>
            <w:tcW w:w="2268" w:type="dxa"/>
          </w:tcPr>
          <w:p w14:paraId="05A81A9C" w14:textId="77777777" w:rsidR="00AC5284" w:rsidRDefault="00AC5284" w:rsidP="009C6C1F"/>
        </w:tc>
        <w:tc>
          <w:tcPr>
            <w:tcW w:w="2976" w:type="dxa"/>
          </w:tcPr>
          <w:p w14:paraId="1D1188B3" w14:textId="77777777" w:rsidR="00AC5284" w:rsidRDefault="00AC5284" w:rsidP="009C6C1F"/>
        </w:tc>
      </w:tr>
      <w:tr w:rsidR="00AC5284" w14:paraId="60A68D65" w14:textId="77777777" w:rsidTr="00AC5284">
        <w:tc>
          <w:tcPr>
            <w:tcW w:w="362" w:type="dxa"/>
            <w:shd w:val="clear" w:color="auto" w:fill="D9D9D9" w:themeFill="background1" w:themeFillShade="D9"/>
          </w:tcPr>
          <w:p w14:paraId="61C7313C" w14:textId="77777777" w:rsidR="00AC5284" w:rsidRDefault="00AC5284" w:rsidP="009C6C1F">
            <w:r>
              <w:t>6</w:t>
            </w:r>
          </w:p>
        </w:tc>
        <w:tc>
          <w:tcPr>
            <w:tcW w:w="1618" w:type="dxa"/>
          </w:tcPr>
          <w:p w14:paraId="31B8B845" w14:textId="77777777" w:rsidR="00AC5284" w:rsidRDefault="00AC5284" w:rsidP="009C6C1F"/>
        </w:tc>
        <w:tc>
          <w:tcPr>
            <w:tcW w:w="1843" w:type="dxa"/>
          </w:tcPr>
          <w:p w14:paraId="1681F102" w14:textId="77777777" w:rsidR="00AC5284" w:rsidRDefault="00AC5284" w:rsidP="009C6C1F"/>
        </w:tc>
        <w:tc>
          <w:tcPr>
            <w:tcW w:w="2268" w:type="dxa"/>
          </w:tcPr>
          <w:p w14:paraId="12078736" w14:textId="77777777" w:rsidR="00AC5284" w:rsidRDefault="00AC5284" w:rsidP="009C6C1F"/>
        </w:tc>
        <w:tc>
          <w:tcPr>
            <w:tcW w:w="2976" w:type="dxa"/>
          </w:tcPr>
          <w:p w14:paraId="45DADFE9" w14:textId="77777777" w:rsidR="00AC5284" w:rsidRDefault="00AC5284" w:rsidP="009C6C1F"/>
        </w:tc>
      </w:tr>
      <w:tr w:rsidR="00AC5284" w14:paraId="3CDA6F69" w14:textId="77777777" w:rsidTr="00AC5284">
        <w:tc>
          <w:tcPr>
            <w:tcW w:w="362" w:type="dxa"/>
            <w:shd w:val="clear" w:color="auto" w:fill="D9D9D9" w:themeFill="background1" w:themeFillShade="D9"/>
          </w:tcPr>
          <w:p w14:paraId="708B34A1" w14:textId="77777777" w:rsidR="00AC5284" w:rsidRDefault="00AC5284" w:rsidP="009C6C1F">
            <w:r>
              <w:t>7</w:t>
            </w:r>
          </w:p>
        </w:tc>
        <w:tc>
          <w:tcPr>
            <w:tcW w:w="1618" w:type="dxa"/>
          </w:tcPr>
          <w:p w14:paraId="276EF5A2" w14:textId="77777777" w:rsidR="00AC5284" w:rsidRDefault="00AC5284" w:rsidP="009C6C1F"/>
        </w:tc>
        <w:tc>
          <w:tcPr>
            <w:tcW w:w="1843" w:type="dxa"/>
          </w:tcPr>
          <w:p w14:paraId="66D2061D" w14:textId="77777777" w:rsidR="00AC5284" w:rsidRDefault="00AC5284" w:rsidP="009C6C1F"/>
        </w:tc>
        <w:tc>
          <w:tcPr>
            <w:tcW w:w="2268" w:type="dxa"/>
          </w:tcPr>
          <w:p w14:paraId="22418491" w14:textId="77777777" w:rsidR="00AC5284" w:rsidRDefault="00AC5284" w:rsidP="009C6C1F"/>
        </w:tc>
        <w:tc>
          <w:tcPr>
            <w:tcW w:w="2976" w:type="dxa"/>
          </w:tcPr>
          <w:p w14:paraId="46877615" w14:textId="77777777" w:rsidR="00AC5284" w:rsidRDefault="00AC5284" w:rsidP="009C6C1F"/>
        </w:tc>
      </w:tr>
    </w:tbl>
    <w:p w14:paraId="46653F70" w14:textId="2D7557C5" w:rsidR="00A036A2" w:rsidRDefault="00A036A2" w:rsidP="00432CEB">
      <w:pPr>
        <w:rPr>
          <w:b/>
        </w:rPr>
      </w:pPr>
    </w:p>
    <w:p w14:paraId="3A2EBEB5" w14:textId="3A57A728" w:rsidR="004B5006" w:rsidRPr="00AC5284" w:rsidRDefault="004B5006" w:rsidP="00AC5284">
      <w:pPr>
        <w:pStyle w:val="ListParagraph"/>
        <w:numPr>
          <w:ilvl w:val="0"/>
          <w:numId w:val="11"/>
        </w:numPr>
        <w:jc w:val="both"/>
        <w:rPr>
          <w:b/>
        </w:rPr>
      </w:pPr>
      <w:r w:rsidRPr="00AC5284">
        <w:rPr>
          <w:b/>
        </w:rPr>
        <w:t>Each access to information request is different and therefore each request for clarification is different.  The following is a list of questions f</w:t>
      </w:r>
      <w:r w:rsidR="00C651E9">
        <w:rPr>
          <w:b/>
        </w:rPr>
        <w:t>or either the Applicant or the P</w:t>
      </w:r>
      <w:r w:rsidR="000159C0">
        <w:rPr>
          <w:b/>
        </w:rPr>
        <w:t>ublic B</w:t>
      </w:r>
      <w:r w:rsidRPr="00AC5284">
        <w:rPr>
          <w:b/>
        </w:rPr>
        <w:t>ody that may help determine which information is wanted by the Applicant an</w:t>
      </w:r>
      <w:r w:rsidR="000159C0">
        <w:rPr>
          <w:b/>
        </w:rPr>
        <w:t>d which is the information the P</w:t>
      </w:r>
      <w:r w:rsidRPr="00AC5284">
        <w:rPr>
          <w:b/>
        </w:rPr>
        <w:t>ub</w:t>
      </w:r>
      <w:r w:rsidR="000159C0">
        <w:rPr>
          <w:b/>
        </w:rPr>
        <w:t>lic B</w:t>
      </w:r>
      <w:r w:rsidRPr="00AC5284">
        <w:rPr>
          <w:b/>
        </w:rPr>
        <w:t>ody holds that may be most useful.</w:t>
      </w:r>
    </w:p>
    <w:p w14:paraId="6AB73542" w14:textId="4F9797C7" w:rsidR="004B5006" w:rsidRPr="004B5006" w:rsidRDefault="004B5006" w:rsidP="004B5006">
      <w:pPr>
        <w:ind w:left="720"/>
        <w:jc w:val="both"/>
        <w:rPr>
          <w:b/>
        </w:rPr>
      </w:pPr>
      <w:r>
        <w:rPr>
          <w:b/>
        </w:rPr>
        <w:t>Different questions will be useful for each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1"/>
        <w:gridCol w:w="6689"/>
      </w:tblGrid>
      <w:tr w:rsidR="004B5006" w14:paraId="08338969" w14:textId="77777777" w:rsidTr="00AC5284">
        <w:tc>
          <w:tcPr>
            <w:tcW w:w="2661" w:type="dxa"/>
            <w:shd w:val="clear" w:color="auto" w:fill="D9D9D9" w:themeFill="background1" w:themeFillShade="D9"/>
          </w:tcPr>
          <w:p w14:paraId="2E56E6CB" w14:textId="77777777" w:rsidR="004B5006" w:rsidRDefault="004B5006" w:rsidP="009C6C1F">
            <w:r>
              <w:t>General</w:t>
            </w:r>
          </w:p>
        </w:tc>
        <w:tc>
          <w:tcPr>
            <w:tcW w:w="6689" w:type="dxa"/>
          </w:tcPr>
          <w:p w14:paraId="56E0C6B2" w14:textId="34D44EDC" w:rsidR="004B5006" w:rsidRDefault="004B5006" w:rsidP="009C6C1F">
            <w:r>
              <w:t xml:space="preserve">Is information missing about </w:t>
            </w:r>
            <w:r w:rsidR="00C651E9">
              <w:t xml:space="preserve">the </w:t>
            </w:r>
            <w:r>
              <w:t xml:space="preserve">timeframe? </w:t>
            </w:r>
          </w:p>
        </w:tc>
      </w:tr>
      <w:tr w:rsidR="004B5006" w14:paraId="5CB1B2B1" w14:textId="77777777" w:rsidTr="00AC5284">
        <w:tc>
          <w:tcPr>
            <w:tcW w:w="2661" w:type="dxa"/>
          </w:tcPr>
          <w:p w14:paraId="3C2B4674" w14:textId="77777777" w:rsidR="004B5006" w:rsidRDefault="004B5006" w:rsidP="009C6C1F"/>
        </w:tc>
        <w:tc>
          <w:tcPr>
            <w:tcW w:w="6689" w:type="dxa"/>
          </w:tcPr>
          <w:p w14:paraId="633AAAA7" w14:textId="77777777" w:rsidR="004B5006" w:rsidRDefault="004B5006" w:rsidP="009C6C1F">
            <w:r>
              <w:t>Are the types of records wanted clear? (Correspondence, reports, everything….)</w:t>
            </w:r>
          </w:p>
        </w:tc>
      </w:tr>
      <w:tr w:rsidR="004B5006" w14:paraId="3E24A3F0" w14:textId="77777777" w:rsidTr="00AC5284">
        <w:tc>
          <w:tcPr>
            <w:tcW w:w="2661" w:type="dxa"/>
          </w:tcPr>
          <w:p w14:paraId="28210AF7" w14:textId="77777777" w:rsidR="004B5006" w:rsidRDefault="004B5006" w:rsidP="009C6C1F"/>
        </w:tc>
        <w:tc>
          <w:tcPr>
            <w:tcW w:w="6689" w:type="dxa"/>
          </w:tcPr>
          <w:p w14:paraId="16AE7755" w14:textId="05012AFD" w:rsidR="004B5006" w:rsidRPr="007446AA" w:rsidRDefault="004B5006" w:rsidP="009C6C1F">
            <w:pPr>
              <w:rPr>
                <w:lang w:val="en-CA"/>
              </w:rPr>
            </w:pPr>
            <w:r>
              <w:t>Are all terms and acronyms used understood the same</w:t>
            </w:r>
            <w:r w:rsidR="000159C0">
              <w:t xml:space="preserve"> by both the Applicant and the Public B</w:t>
            </w:r>
            <w:r>
              <w:t>ody?</w:t>
            </w:r>
          </w:p>
        </w:tc>
      </w:tr>
      <w:tr w:rsidR="004B5006" w14:paraId="6C41A84D" w14:textId="77777777" w:rsidTr="00AC5284">
        <w:tc>
          <w:tcPr>
            <w:tcW w:w="2661" w:type="dxa"/>
          </w:tcPr>
          <w:p w14:paraId="1EB20089" w14:textId="77777777" w:rsidR="004B5006" w:rsidRDefault="004B5006" w:rsidP="009C6C1F"/>
        </w:tc>
        <w:tc>
          <w:tcPr>
            <w:tcW w:w="6689" w:type="dxa"/>
          </w:tcPr>
          <w:p w14:paraId="2DCB5326" w14:textId="2ED36783" w:rsidR="004B5006" w:rsidRDefault="004B5006" w:rsidP="009C6C1F">
            <w:r>
              <w:t>Is information available elsewhere?</w:t>
            </w:r>
            <w:r w:rsidR="000159C0">
              <w:t xml:space="preserve"> (RCMP, other Public Body)</w:t>
            </w:r>
          </w:p>
        </w:tc>
      </w:tr>
      <w:tr w:rsidR="004B5006" w14:paraId="79E264D6" w14:textId="77777777" w:rsidTr="00AC5284">
        <w:tc>
          <w:tcPr>
            <w:tcW w:w="2661" w:type="dxa"/>
          </w:tcPr>
          <w:p w14:paraId="2DE28776" w14:textId="77777777" w:rsidR="004B5006" w:rsidRDefault="004B5006" w:rsidP="009C6C1F"/>
        </w:tc>
        <w:tc>
          <w:tcPr>
            <w:tcW w:w="6689" w:type="dxa"/>
          </w:tcPr>
          <w:p w14:paraId="66738C83" w14:textId="035AE533" w:rsidR="004B5006" w:rsidRDefault="004B5006" w:rsidP="009C6C1F">
            <w:r>
              <w:t>Is information publically available?</w:t>
            </w:r>
            <w:r w:rsidR="00D77472">
              <w:t xml:space="preserve"> (Open Government, G</w:t>
            </w:r>
            <w:r w:rsidR="001243F4">
              <w:t>oogle)</w:t>
            </w:r>
          </w:p>
        </w:tc>
      </w:tr>
      <w:tr w:rsidR="004B5006" w14:paraId="11EFD4FE" w14:textId="77777777" w:rsidTr="00AC5284">
        <w:tc>
          <w:tcPr>
            <w:tcW w:w="2661" w:type="dxa"/>
          </w:tcPr>
          <w:p w14:paraId="7D43717B" w14:textId="77777777" w:rsidR="004B5006" w:rsidRDefault="004B5006" w:rsidP="009C6C1F"/>
        </w:tc>
        <w:tc>
          <w:tcPr>
            <w:tcW w:w="6689" w:type="dxa"/>
          </w:tcPr>
          <w:p w14:paraId="1F6572BF" w14:textId="77777777" w:rsidR="004B5006" w:rsidRDefault="004B5006" w:rsidP="009C6C1F">
            <w:r>
              <w:t>Is information of a type that is “generally excluded” under the Act?</w:t>
            </w:r>
          </w:p>
        </w:tc>
      </w:tr>
      <w:tr w:rsidR="004B5006" w14:paraId="409ABB90" w14:textId="77777777" w:rsidTr="00AC5284">
        <w:tc>
          <w:tcPr>
            <w:tcW w:w="2661" w:type="dxa"/>
            <w:shd w:val="clear" w:color="auto" w:fill="D9D9D9" w:themeFill="background1" w:themeFillShade="D9"/>
          </w:tcPr>
          <w:p w14:paraId="52794EF0" w14:textId="77777777" w:rsidR="004B5006" w:rsidRDefault="004B5006" w:rsidP="009C6C1F">
            <w:r>
              <w:t>Personal Information Requests</w:t>
            </w:r>
          </w:p>
        </w:tc>
        <w:tc>
          <w:tcPr>
            <w:tcW w:w="6689" w:type="dxa"/>
          </w:tcPr>
          <w:p w14:paraId="12D6417B" w14:textId="51C55C13" w:rsidR="004B5006" w:rsidRDefault="000159C0" w:rsidP="009C6C1F">
            <w:r>
              <w:t>Does the Public B</w:t>
            </w:r>
            <w:r w:rsidR="004B5006">
              <w:t>ody need more personal information to identify responsive records?</w:t>
            </w:r>
            <w:r w:rsidR="001243F4">
              <w:t xml:space="preserve"> (Date</w:t>
            </w:r>
            <w:r w:rsidR="00D77472">
              <w:t xml:space="preserve"> of birth, maiden name</w:t>
            </w:r>
            <w:r w:rsidR="001243F4">
              <w:t>)</w:t>
            </w:r>
          </w:p>
        </w:tc>
      </w:tr>
      <w:tr w:rsidR="004B5006" w14:paraId="5B06F5AB" w14:textId="77777777" w:rsidTr="00AC5284">
        <w:tc>
          <w:tcPr>
            <w:tcW w:w="2661" w:type="dxa"/>
          </w:tcPr>
          <w:p w14:paraId="0B1A5FC7" w14:textId="77777777" w:rsidR="004B5006" w:rsidRDefault="004B5006" w:rsidP="009C6C1F"/>
        </w:tc>
        <w:tc>
          <w:tcPr>
            <w:tcW w:w="6689" w:type="dxa"/>
          </w:tcPr>
          <w:p w14:paraId="0DD90E51" w14:textId="7FB49482" w:rsidR="004B5006" w:rsidRDefault="000159C0" w:rsidP="009C6C1F">
            <w:r>
              <w:t>Does the A</w:t>
            </w:r>
            <w:r w:rsidR="004B5006">
              <w:t>pplicant have the authority to request this personal information?</w:t>
            </w:r>
          </w:p>
        </w:tc>
      </w:tr>
      <w:tr w:rsidR="004B5006" w14:paraId="1EA9FBD6" w14:textId="77777777" w:rsidTr="00AC5284">
        <w:tc>
          <w:tcPr>
            <w:tcW w:w="2661" w:type="dxa"/>
            <w:shd w:val="clear" w:color="auto" w:fill="D9D9D9" w:themeFill="background1" w:themeFillShade="D9"/>
          </w:tcPr>
          <w:p w14:paraId="350B7C76" w14:textId="5E3F7046" w:rsidR="004B5006" w:rsidRDefault="00AC5284" w:rsidP="009C6C1F">
            <w:r>
              <w:t>Timeframe</w:t>
            </w:r>
          </w:p>
        </w:tc>
        <w:tc>
          <w:tcPr>
            <w:tcW w:w="6689" w:type="dxa"/>
          </w:tcPr>
          <w:p w14:paraId="14B27E75" w14:textId="54693053" w:rsidR="004B5006" w:rsidRDefault="00AC5284" w:rsidP="009C6C1F">
            <w:r>
              <w:t>Can the timeframe</w:t>
            </w:r>
            <w:r w:rsidR="004B5006">
              <w:t xml:space="preserve"> be limited to recent information because past responsi</w:t>
            </w:r>
            <w:r w:rsidR="00C651E9">
              <w:t>ve records are available on the</w:t>
            </w:r>
            <w:r w:rsidR="004B5006">
              <w:t xml:space="preserve"> Access </w:t>
            </w:r>
            <w:r w:rsidR="00C651E9">
              <w:t xml:space="preserve">Information </w:t>
            </w:r>
            <w:r w:rsidR="004B5006">
              <w:t>Registry?</w:t>
            </w:r>
          </w:p>
        </w:tc>
      </w:tr>
      <w:tr w:rsidR="004B5006" w14:paraId="187AACF4" w14:textId="77777777" w:rsidTr="00AC5284">
        <w:tc>
          <w:tcPr>
            <w:tcW w:w="2661" w:type="dxa"/>
            <w:shd w:val="clear" w:color="auto" w:fill="D9D9D9" w:themeFill="background1" w:themeFillShade="D9"/>
          </w:tcPr>
          <w:p w14:paraId="7A2F1675" w14:textId="77777777" w:rsidR="004B5006" w:rsidRDefault="004B5006" w:rsidP="009C6C1F">
            <w:r>
              <w:t>Program/Activity/Staff</w:t>
            </w:r>
          </w:p>
        </w:tc>
        <w:tc>
          <w:tcPr>
            <w:tcW w:w="6689" w:type="dxa"/>
          </w:tcPr>
          <w:p w14:paraId="7B7D7EE9" w14:textId="77777777" w:rsidR="004B5006" w:rsidRDefault="004B5006" w:rsidP="009C6C1F">
            <w:r>
              <w:t>Which program/activity/staff would have responsive records?</w:t>
            </w:r>
          </w:p>
        </w:tc>
      </w:tr>
      <w:tr w:rsidR="004B5006" w14:paraId="5C5D572F" w14:textId="77777777" w:rsidTr="00AC5284">
        <w:tc>
          <w:tcPr>
            <w:tcW w:w="2661" w:type="dxa"/>
          </w:tcPr>
          <w:p w14:paraId="3549CD4E" w14:textId="77777777" w:rsidR="004B5006" w:rsidRDefault="004B5006" w:rsidP="009C6C1F"/>
        </w:tc>
        <w:tc>
          <w:tcPr>
            <w:tcW w:w="6689" w:type="dxa"/>
          </w:tcPr>
          <w:p w14:paraId="6B55F9CE" w14:textId="77777777" w:rsidR="004B5006" w:rsidRDefault="004B5006" w:rsidP="009C6C1F">
            <w:r>
              <w:t>Can the request easily be divided by program/activity/staff?</w:t>
            </w:r>
          </w:p>
        </w:tc>
      </w:tr>
      <w:tr w:rsidR="004B5006" w14:paraId="42B14234" w14:textId="77777777" w:rsidTr="00AC5284">
        <w:tc>
          <w:tcPr>
            <w:tcW w:w="2661" w:type="dxa"/>
            <w:shd w:val="clear" w:color="auto" w:fill="D9D9D9" w:themeFill="background1" w:themeFillShade="D9"/>
          </w:tcPr>
          <w:p w14:paraId="03E68FF4" w14:textId="77777777" w:rsidR="004B5006" w:rsidRDefault="004B5006" w:rsidP="009C6C1F">
            <w:r>
              <w:t>Types of Records</w:t>
            </w:r>
          </w:p>
        </w:tc>
        <w:tc>
          <w:tcPr>
            <w:tcW w:w="6689" w:type="dxa"/>
          </w:tcPr>
          <w:p w14:paraId="3F2D2A01" w14:textId="77777777" w:rsidR="004B5006" w:rsidRDefault="004B5006" w:rsidP="009C6C1F">
            <w:r>
              <w:t>What types of records contain the information?</w:t>
            </w:r>
          </w:p>
        </w:tc>
      </w:tr>
      <w:tr w:rsidR="004B5006" w14:paraId="2038269E" w14:textId="77777777" w:rsidTr="00AC5284">
        <w:tc>
          <w:tcPr>
            <w:tcW w:w="2661" w:type="dxa"/>
          </w:tcPr>
          <w:p w14:paraId="25459690" w14:textId="77777777" w:rsidR="004B5006" w:rsidRDefault="004B5006" w:rsidP="009C6C1F"/>
        </w:tc>
        <w:tc>
          <w:tcPr>
            <w:tcW w:w="6689" w:type="dxa"/>
          </w:tcPr>
          <w:p w14:paraId="79ADEBB3" w14:textId="77777777" w:rsidR="004B5006" w:rsidRDefault="004B5006" w:rsidP="009C6C1F">
            <w:r>
              <w:t>Are some of these records more responsive information dense?  Example – Report instead of emails.</w:t>
            </w:r>
          </w:p>
        </w:tc>
      </w:tr>
      <w:tr w:rsidR="004B5006" w14:paraId="09F0BF54" w14:textId="77777777" w:rsidTr="00AC5284">
        <w:tc>
          <w:tcPr>
            <w:tcW w:w="2661" w:type="dxa"/>
          </w:tcPr>
          <w:p w14:paraId="252E4727" w14:textId="77777777" w:rsidR="004B5006" w:rsidRDefault="004B5006" w:rsidP="009C6C1F"/>
        </w:tc>
        <w:tc>
          <w:tcPr>
            <w:tcW w:w="6689" w:type="dxa"/>
          </w:tcPr>
          <w:p w14:paraId="7B6C6F24" w14:textId="77777777" w:rsidR="004B5006" w:rsidRDefault="004B5006" w:rsidP="009C6C1F">
            <w:r>
              <w:t>Can the request easily be divided by type of record?</w:t>
            </w:r>
          </w:p>
        </w:tc>
      </w:tr>
      <w:tr w:rsidR="004B5006" w14:paraId="7F7CF1F4" w14:textId="77777777" w:rsidTr="00AC5284">
        <w:tc>
          <w:tcPr>
            <w:tcW w:w="2661" w:type="dxa"/>
          </w:tcPr>
          <w:p w14:paraId="73E8A7BE" w14:textId="77777777" w:rsidR="004B5006" w:rsidRDefault="004B5006" w:rsidP="009C6C1F"/>
        </w:tc>
        <w:tc>
          <w:tcPr>
            <w:tcW w:w="6689" w:type="dxa"/>
          </w:tcPr>
          <w:p w14:paraId="3F782700" w14:textId="77777777" w:rsidR="004B5006" w:rsidRDefault="004B5006" w:rsidP="009C6C1F">
            <w:r>
              <w:t>Is information in some of these types of records more likely to be withheld?</w:t>
            </w:r>
          </w:p>
        </w:tc>
      </w:tr>
      <w:tr w:rsidR="004B5006" w14:paraId="51821885" w14:textId="77777777" w:rsidTr="00AC5284">
        <w:tc>
          <w:tcPr>
            <w:tcW w:w="2661" w:type="dxa"/>
          </w:tcPr>
          <w:p w14:paraId="775B1E5D" w14:textId="77777777" w:rsidR="004B5006" w:rsidRDefault="004B5006" w:rsidP="009C6C1F"/>
        </w:tc>
        <w:tc>
          <w:tcPr>
            <w:tcW w:w="6689" w:type="dxa"/>
          </w:tcPr>
          <w:p w14:paraId="7DA8D862" w14:textId="77777777" w:rsidR="004B5006" w:rsidRDefault="004B5006" w:rsidP="009C6C1F">
            <w:r>
              <w:t>Can a record easily be generated that answers the question?</w:t>
            </w:r>
          </w:p>
        </w:tc>
      </w:tr>
      <w:tr w:rsidR="004B5006" w14:paraId="61117326" w14:textId="77777777" w:rsidTr="00AC5284">
        <w:tc>
          <w:tcPr>
            <w:tcW w:w="2661" w:type="dxa"/>
            <w:shd w:val="clear" w:color="auto" w:fill="D9D9D9" w:themeFill="background1" w:themeFillShade="D9"/>
          </w:tcPr>
          <w:p w14:paraId="06F375F8" w14:textId="77777777" w:rsidR="004B5006" w:rsidRDefault="004B5006" w:rsidP="009C6C1F">
            <w:r>
              <w:t>Subject Information</w:t>
            </w:r>
          </w:p>
        </w:tc>
        <w:tc>
          <w:tcPr>
            <w:tcW w:w="6689" w:type="dxa"/>
          </w:tcPr>
          <w:p w14:paraId="450161CB" w14:textId="77777777" w:rsidR="004B5006" w:rsidRDefault="004B5006" w:rsidP="009C6C1F">
            <w:r>
              <w:t>Does the request relate to particular incident(s)?</w:t>
            </w:r>
          </w:p>
        </w:tc>
      </w:tr>
      <w:tr w:rsidR="004B5006" w14:paraId="6BC36ED5" w14:textId="77777777" w:rsidTr="00AC5284">
        <w:tc>
          <w:tcPr>
            <w:tcW w:w="2661" w:type="dxa"/>
          </w:tcPr>
          <w:p w14:paraId="757B60CD" w14:textId="77777777" w:rsidR="004B5006" w:rsidRDefault="004B5006" w:rsidP="009C6C1F"/>
        </w:tc>
        <w:tc>
          <w:tcPr>
            <w:tcW w:w="6689" w:type="dxa"/>
          </w:tcPr>
          <w:p w14:paraId="193D9D2C" w14:textId="51F05D44" w:rsidR="004B5006" w:rsidRDefault="004B5006" w:rsidP="009C6C1F">
            <w:r>
              <w:t>Does the request relate to particular subject(s)?</w:t>
            </w:r>
          </w:p>
        </w:tc>
      </w:tr>
    </w:tbl>
    <w:p w14:paraId="437FD704" w14:textId="77777777" w:rsidR="004B5006" w:rsidRDefault="004B5006" w:rsidP="004B5006"/>
    <w:p w14:paraId="7320A1EA" w14:textId="10BEB78E" w:rsidR="00AC5284" w:rsidRPr="00AC5284" w:rsidRDefault="000159C0" w:rsidP="00AC5284">
      <w:pPr>
        <w:pStyle w:val="ListParagraph"/>
        <w:numPr>
          <w:ilvl w:val="0"/>
          <w:numId w:val="11"/>
        </w:numPr>
        <w:jc w:val="both"/>
        <w:rPr>
          <w:b/>
        </w:rPr>
      </w:pPr>
      <w:r>
        <w:rPr>
          <w:b/>
        </w:rPr>
        <w:t>The Public B</w:t>
      </w:r>
      <w:r w:rsidR="0049463C">
        <w:rPr>
          <w:b/>
        </w:rPr>
        <w:t>ody likely has information that the Applicant does not</w:t>
      </w:r>
      <w:r w:rsidR="00AC5284" w:rsidRPr="00AC5284">
        <w:rPr>
          <w:b/>
        </w:rPr>
        <w:t>.</w:t>
      </w:r>
      <w:r w:rsidR="0049463C">
        <w:rPr>
          <w:b/>
        </w:rPr>
        <w:t xml:space="preserve">  Providing additional information to the Applicant can help them clarify the information they are requesting and ident</w:t>
      </w:r>
      <w:r>
        <w:rPr>
          <w:b/>
        </w:rPr>
        <w:t>ify what specific areas of the Public B</w:t>
      </w:r>
      <w:r w:rsidR="0049463C">
        <w:rPr>
          <w:b/>
        </w:rPr>
        <w:t>ody they would like searched.</w:t>
      </w:r>
    </w:p>
    <w:p w14:paraId="45F091CF" w14:textId="77E48A47" w:rsidR="00AC5284" w:rsidRDefault="0049463C" w:rsidP="00AC5284">
      <w:pPr>
        <w:ind w:left="720"/>
        <w:jc w:val="both"/>
        <w:rPr>
          <w:b/>
        </w:rPr>
      </w:pPr>
      <w:r>
        <w:rPr>
          <w:b/>
        </w:rPr>
        <w:t>This table suggests the type</w:t>
      </w:r>
      <w:r w:rsidR="000159C0">
        <w:rPr>
          <w:b/>
        </w:rPr>
        <w:t>s of information a Public B</w:t>
      </w:r>
      <w:r>
        <w:rPr>
          <w:b/>
        </w:rPr>
        <w:t>ody may hold that could be useful to an Applicant when narrowing a request</w:t>
      </w:r>
      <w:r w:rsidR="00AC5284">
        <w:rPr>
          <w:b/>
        </w:rPr>
        <w:t>.</w:t>
      </w:r>
    </w:p>
    <w:p w14:paraId="4BC5093E" w14:textId="6B72D5E0" w:rsidR="0049463C" w:rsidRPr="004B5006" w:rsidRDefault="0049463C" w:rsidP="00AC5284">
      <w:pPr>
        <w:ind w:left="720"/>
        <w:jc w:val="both"/>
        <w:rPr>
          <w:b/>
        </w:rPr>
      </w:pPr>
      <w:r>
        <w:rPr>
          <w:b/>
        </w:rPr>
        <w:t>Different types of information will be useful depending on each individual request.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0"/>
        <w:gridCol w:w="2492"/>
        <w:gridCol w:w="1907"/>
        <w:gridCol w:w="2061"/>
      </w:tblGrid>
      <w:tr w:rsidR="004B5006" w14:paraId="5F60CFD4" w14:textId="77777777" w:rsidTr="0049463C">
        <w:tc>
          <w:tcPr>
            <w:tcW w:w="2890" w:type="dxa"/>
            <w:shd w:val="clear" w:color="auto" w:fill="D9D9D9" w:themeFill="background1" w:themeFillShade="D9"/>
          </w:tcPr>
          <w:p w14:paraId="39301905" w14:textId="18A04F7D" w:rsidR="004B5006" w:rsidRDefault="0049463C" w:rsidP="009C6C1F">
            <w:r>
              <w:t>Timeframe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14:paraId="053CB2B5" w14:textId="77777777" w:rsidR="004B5006" w:rsidRDefault="004B5006" w:rsidP="009C6C1F">
            <w:r>
              <w:t>Program/Activity/Staff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04A06DB9" w14:textId="77777777" w:rsidR="004B5006" w:rsidRDefault="004B5006" w:rsidP="009C6C1F">
            <w:r>
              <w:t>Types of Records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199E0CE1" w14:textId="77777777" w:rsidR="004B5006" w:rsidRDefault="004B5006" w:rsidP="009C6C1F">
            <w:r>
              <w:t>Subject Information</w:t>
            </w:r>
          </w:p>
        </w:tc>
      </w:tr>
      <w:tr w:rsidR="004B5006" w14:paraId="2092D52A" w14:textId="77777777" w:rsidTr="0049463C">
        <w:tc>
          <w:tcPr>
            <w:tcW w:w="2890" w:type="dxa"/>
          </w:tcPr>
          <w:p w14:paraId="2011EBC8" w14:textId="6263DE13" w:rsidR="004B5006" w:rsidRDefault="0049463C" w:rsidP="009C6C1F">
            <w:r>
              <w:t>More accurate timeframe</w:t>
            </w:r>
            <w:r w:rsidR="004B5006">
              <w:t xml:space="preserve"> information if available.  (Example – month a report was released or incident occurred.)</w:t>
            </w:r>
          </w:p>
        </w:tc>
        <w:tc>
          <w:tcPr>
            <w:tcW w:w="2492" w:type="dxa"/>
          </w:tcPr>
          <w:p w14:paraId="6A8F237B" w14:textId="77777777" w:rsidR="004B5006" w:rsidRDefault="004B5006" w:rsidP="009C6C1F">
            <w:r>
              <w:t xml:space="preserve">List of program/activity/staff who might have responsive records.  </w:t>
            </w:r>
          </w:p>
        </w:tc>
        <w:tc>
          <w:tcPr>
            <w:tcW w:w="1907" w:type="dxa"/>
          </w:tcPr>
          <w:p w14:paraId="10511EFF" w14:textId="77777777" w:rsidR="004B5006" w:rsidRDefault="004B5006" w:rsidP="009C6C1F">
            <w:r>
              <w:t>List of types of records likely to be responsive.</w:t>
            </w:r>
          </w:p>
        </w:tc>
        <w:tc>
          <w:tcPr>
            <w:tcW w:w="2061" w:type="dxa"/>
          </w:tcPr>
          <w:p w14:paraId="131ED30A" w14:textId="77777777" w:rsidR="004B5006" w:rsidRDefault="004B5006" w:rsidP="009C6C1F">
            <w:r>
              <w:t>Details around incident(s) that are unclear in the request.</w:t>
            </w:r>
          </w:p>
        </w:tc>
      </w:tr>
      <w:tr w:rsidR="004B5006" w14:paraId="0E27312E" w14:textId="77777777" w:rsidTr="0049463C">
        <w:tc>
          <w:tcPr>
            <w:tcW w:w="2890" w:type="dxa"/>
          </w:tcPr>
          <w:p w14:paraId="3C087E61" w14:textId="6A1D04D4" w:rsidR="004B5006" w:rsidRDefault="004B5006" w:rsidP="00AC5284">
            <w:r w:rsidRPr="0099357B">
              <w:t>Additional information around life events if</w:t>
            </w:r>
            <w:r w:rsidR="00AC5284">
              <w:t xml:space="preserve"> request for person</w:t>
            </w:r>
            <w:r w:rsidR="000159C0">
              <w:t>al information (Example: years A</w:t>
            </w:r>
            <w:r w:rsidR="00AC5284">
              <w:t>pplicant in school, receiving senior benefits, enrolled in child dental program)</w:t>
            </w:r>
            <w:r w:rsidRPr="0099357B">
              <w:t xml:space="preserve"> </w:t>
            </w:r>
          </w:p>
        </w:tc>
        <w:tc>
          <w:tcPr>
            <w:tcW w:w="2492" w:type="dxa"/>
          </w:tcPr>
          <w:p w14:paraId="2CE52C13" w14:textId="77777777" w:rsidR="004B5006" w:rsidRDefault="004B5006" w:rsidP="009C6C1F">
            <w:r>
              <w:t>What types of information each program/activity/staff would be expected to hold.</w:t>
            </w:r>
          </w:p>
        </w:tc>
        <w:tc>
          <w:tcPr>
            <w:tcW w:w="1907" w:type="dxa"/>
          </w:tcPr>
          <w:p w14:paraId="6ED8B0C3" w14:textId="77777777" w:rsidR="004B5006" w:rsidRDefault="004B5006" w:rsidP="009C6C1F">
            <w:r>
              <w:t>Volume of each type of likely responsive record.</w:t>
            </w:r>
          </w:p>
        </w:tc>
        <w:tc>
          <w:tcPr>
            <w:tcW w:w="2061" w:type="dxa"/>
          </w:tcPr>
          <w:p w14:paraId="0A021D35" w14:textId="77777777" w:rsidR="004B5006" w:rsidRDefault="004B5006" w:rsidP="009C6C1F">
            <w:r>
              <w:t>Details around subject(s) that are unclear in the request.</w:t>
            </w:r>
          </w:p>
        </w:tc>
      </w:tr>
      <w:tr w:rsidR="004B5006" w14:paraId="4FB66490" w14:textId="77777777" w:rsidTr="0049463C">
        <w:tc>
          <w:tcPr>
            <w:tcW w:w="2890" w:type="dxa"/>
          </w:tcPr>
          <w:p w14:paraId="10966AA9" w14:textId="77777777" w:rsidR="004B5006" w:rsidRDefault="004B5006" w:rsidP="009C6C1F"/>
        </w:tc>
        <w:tc>
          <w:tcPr>
            <w:tcW w:w="2492" w:type="dxa"/>
          </w:tcPr>
          <w:p w14:paraId="75868AAA" w14:textId="77777777" w:rsidR="004B5006" w:rsidRDefault="004B5006" w:rsidP="009C6C1F">
            <w:r>
              <w:t>Volume of information each program/activity/staff would be expected to hold.</w:t>
            </w:r>
          </w:p>
        </w:tc>
        <w:tc>
          <w:tcPr>
            <w:tcW w:w="1907" w:type="dxa"/>
          </w:tcPr>
          <w:p w14:paraId="4582A194" w14:textId="77777777" w:rsidR="004B5006" w:rsidRDefault="004B5006" w:rsidP="009C6C1F">
            <w:r>
              <w:t>Type of information contained in each type of record likely to be responsive.</w:t>
            </w:r>
          </w:p>
        </w:tc>
        <w:tc>
          <w:tcPr>
            <w:tcW w:w="2061" w:type="dxa"/>
          </w:tcPr>
          <w:p w14:paraId="3F7D947D" w14:textId="77777777" w:rsidR="004B5006" w:rsidRDefault="004B5006" w:rsidP="009C6C1F"/>
        </w:tc>
      </w:tr>
      <w:tr w:rsidR="004B5006" w14:paraId="308BEC00" w14:textId="77777777" w:rsidTr="0049463C">
        <w:tc>
          <w:tcPr>
            <w:tcW w:w="2890" w:type="dxa"/>
          </w:tcPr>
          <w:p w14:paraId="233CCA65" w14:textId="77777777" w:rsidR="004B5006" w:rsidRDefault="004B5006" w:rsidP="009C6C1F"/>
        </w:tc>
        <w:tc>
          <w:tcPr>
            <w:tcW w:w="2492" w:type="dxa"/>
          </w:tcPr>
          <w:p w14:paraId="6E2D559D" w14:textId="77777777" w:rsidR="004B5006" w:rsidRDefault="004B5006" w:rsidP="009C6C1F"/>
        </w:tc>
        <w:tc>
          <w:tcPr>
            <w:tcW w:w="1907" w:type="dxa"/>
          </w:tcPr>
          <w:p w14:paraId="5C3A4877" w14:textId="0C7F6897" w:rsidR="004B5006" w:rsidRDefault="004B5006" w:rsidP="009C6C1F">
            <w:r>
              <w:t xml:space="preserve">Likely value of information in each type </w:t>
            </w:r>
            <w:r w:rsidR="0049463C">
              <w:t xml:space="preserve">of </w:t>
            </w:r>
            <w:r>
              <w:t>record li</w:t>
            </w:r>
            <w:r w:rsidR="0049463C">
              <w:t>kely to be responsive</w:t>
            </w:r>
            <w:r>
              <w:t>.</w:t>
            </w:r>
          </w:p>
        </w:tc>
        <w:tc>
          <w:tcPr>
            <w:tcW w:w="2061" w:type="dxa"/>
          </w:tcPr>
          <w:p w14:paraId="42FAF4BE" w14:textId="77777777" w:rsidR="004B5006" w:rsidRDefault="004B5006" w:rsidP="009C6C1F"/>
        </w:tc>
      </w:tr>
    </w:tbl>
    <w:p w14:paraId="09B4DA57" w14:textId="77777777" w:rsidR="004B5006" w:rsidRPr="00432CEB" w:rsidRDefault="004B5006" w:rsidP="00D77472">
      <w:pPr>
        <w:rPr>
          <w:b/>
        </w:rPr>
      </w:pPr>
    </w:p>
    <w:sectPr w:rsidR="004B5006" w:rsidRPr="00432CEB" w:rsidSect="00200D5E">
      <w:footerReference w:type="defaul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BD810" w14:textId="77777777" w:rsidR="001035AB" w:rsidRDefault="00DF3411">
      <w:pPr>
        <w:spacing w:after="0" w:line="240" w:lineRule="auto"/>
      </w:pPr>
      <w:r>
        <w:separator/>
      </w:r>
    </w:p>
  </w:endnote>
  <w:endnote w:type="continuationSeparator" w:id="0">
    <w:p w14:paraId="4358830B" w14:textId="77777777" w:rsidR="001035AB" w:rsidRDefault="00DF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o">
    <w:panose1 w:val="020F05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515E7E" w14:paraId="0BD78CD3" w14:textId="77777777" w:rsidTr="0058553F">
      <w:trPr>
        <w:trHeight w:hRule="exact" w:val="115"/>
        <w:jc w:val="center"/>
      </w:trPr>
      <w:tc>
        <w:tcPr>
          <w:tcW w:w="4686" w:type="dxa"/>
          <w:shd w:val="clear" w:color="auto" w:fill="F2A900" w:themeFill="accent4"/>
          <w:tcMar>
            <w:top w:w="0" w:type="dxa"/>
            <w:bottom w:w="0" w:type="dxa"/>
          </w:tcMar>
        </w:tcPr>
        <w:p w14:paraId="0F1BC36A" w14:textId="77777777" w:rsidR="00515E7E" w:rsidRPr="004D046B" w:rsidRDefault="0007428E" w:rsidP="00515E7E">
          <w:pPr>
            <w:pStyle w:val="Header"/>
            <w:tabs>
              <w:tab w:val="clear" w:pos="4680"/>
              <w:tab w:val="clear" w:pos="9360"/>
            </w:tabs>
            <w:rPr>
              <w:caps/>
              <w:color w:val="1B3843"/>
              <w:sz w:val="18"/>
            </w:rPr>
          </w:pPr>
        </w:p>
      </w:tc>
      <w:tc>
        <w:tcPr>
          <w:tcW w:w="4674" w:type="dxa"/>
          <w:shd w:val="clear" w:color="auto" w:fill="F2A900" w:themeFill="accent4"/>
          <w:tcMar>
            <w:top w:w="0" w:type="dxa"/>
            <w:bottom w:w="0" w:type="dxa"/>
          </w:tcMar>
        </w:tcPr>
        <w:p w14:paraId="37246F88" w14:textId="77777777" w:rsidR="00515E7E" w:rsidRDefault="0007428E" w:rsidP="00515E7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515E7E" w14:paraId="6BC746FA" w14:textId="77777777" w:rsidTr="0058553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67423B04" w14:textId="77777777" w:rsidR="00515E7E" w:rsidRDefault="00443979" w:rsidP="0044397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ATIPP office guidance: Clarifying requests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2DEE36A" w14:textId="6EF2530A" w:rsidR="00515E7E" w:rsidRDefault="0015259D" w:rsidP="00515E7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7428E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6FACD32" w14:textId="77777777" w:rsidR="00515E7E" w:rsidRDefault="0007428E" w:rsidP="00515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C3B9E" w14:textId="77777777" w:rsidR="001035AB" w:rsidRDefault="00DF3411">
      <w:pPr>
        <w:spacing w:after="0" w:line="240" w:lineRule="auto"/>
      </w:pPr>
      <w:r>
        <w:separator/>
      </w:r>
    </w:p>
  </w:footnote>
  <w:footnote w:type="continuationSeparator" w:id="0">
    <w:p w14:paraId="3AB91078" w14:textId="77777777" w:rsidR="001035AB" w:rsidRDefault="00DF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D1C"/>
    <w:multiLevelType w:val="hybridMultilevel"/>
    <w:tmpl w:val="09F2DF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5489"/>
    <w:multiLevelType w:val="hybridMultilevel"/>
    <w:tmpl w:val="BD7E3E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C301A"/>
    <w:multiLevelType w:val="hybridMultilevel"/>
    <w:tmpl w:val="7EF608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243E1"/>
    <w:multiLevelType w:val="hybridMultilevel"/>
    <w:tmpl w:val="8AD6A7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D6B7C"/>
    <w:multiLevelType w:val="hybridMultilevel"/>
    <w:tmpl w:val="A8FC4E4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6440E2"/>
    <w:multiLevelType w:val="hybridMultilevel"/>
    <w:tmpl w:val="DC206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62E32"/>
    <w:multiLevelType w:val="hybridMultilevel"/>
    <w:tmpl w:val="9AECB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3618"/>
    <w:multiLevelType w:val="hybridMultilevel"/>
    <w:tmpl w:val="8522FE9E"/>
    <w:lvl w:ilvl="0" w:tplc="1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308B"/>
    <w:multiLevelType w:val="hybridMultilevel"/>
    <w:tmpl w:val="E566245C"/>
    <w:lvl w:ilvl="0" w:tplc="311EC490">
      <w:start w:val="1"/>
      <w:numFmt w:val="decimal"/>
      <w:lvlText w:val="%1."/>
      <w:lvlJc w:val="left"/>
      <w:pPr>
        <w:ind w:left="720" w:hanging="360"/>
      </w:pPr>
      <w:rPr>
        <w:rFonts w:ascii="Nunito Sans" w:eastAsiaTheme="minorEastAsia" w:hAnsi="Nunito Sans" w:cstheme="minorBid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7054F"/>
    <w:multiLevelType w:val="hybridMultilevel"/>
    <w:tmpl w:val="D4A0B5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6A6BA5"/>
    <w:multiLevelType w:val="hybridMultilevel"/>
    <w:tmpl w:val="E2B83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32664"/>
    <w:multiLevelType w:val="hybridMultilevel"/>
    <w:tmpl w:val="2D849F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C2352"/>
    <w:multiLevelType w:val="hybridMultilevel"/>
    <w:tmpl w:val="FAF425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31296"/>
    <w:multiLevelType w:val="hybridMultilevel"/>
    <w:tmpl w:val="75FA6C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A6"/>
    <w:rsid w:val="000041EB"/>
    <w:rsid w:val="000159C0"/>
    <w:rsid w:val="00033418"/>
    <w:rsid w:val="000535C3"/>
    <w:rsid w:val="00070611"/>
    <w:rsid w:val="0007428E"/>
    <w:rsid w:val="00074FA8"/>
    <w:rsid w:val="000921ED"/>
    <w:rsid w:val="000A7521"/>
    <w:rsid w:val="000B27F0"/>
    <w:rsid w:val="000B40A6"/>
    <w:rsid w:val="000B455E"/>
    <w:rsid w:val="000C2220"/>
    <w:rsid w:val="000D0458"/>
    <w:rsid w:val="001035AB"/>
    <w:rsid w:val="00106C1A"/>
    <w:rsid w:val="00112B4C"/>
    <w:rsid w:val="001243F4"/>
    <w:rsid w:val="001459D9"/>
    <w:rsid w:val="00146CE0"/>
    <w:rsid w:val="00147AB3"/>
    <w:rsid w:val="00151E3E"/>
    <w:rsid w:val="0015259D"/>
    <w:rsid w:val="00156B71"/>
    <w:rsid w:val="00170752"/>
    <w:rsid w:val="00171F8C"/>
    <w:rsid w:val="00184F24"/>
    <w:rsid w:val="001C7765"/>
    <w:rsid w:val="001E2901"/>
    <w:rsid w:val="001F208A"/>
    <w:rsid w:val="00250C2A"/>
    <w:rsid w:val="002722CB"/>
    <w:rsid w:val="002958E4"/>
    <w:rsid w:val="002A58A5"/>
    <w:rsid w:val="002B3434"/>
    <w:rsid w:val="002B7374"/>
    <w:rsid w:val="002C6F2C"/>
    <w:rsid w:val="002D6D07"/>
    <w:rsid w:val="002F284C"/>
    <w:rsid w:val="0030129B"/>
    <w:rsid w:val="00314858"/>
    <w:rsid w:val="00342521"/>
    <w:rsid w:val="003A0E5E"/>
    <w:rsid w:val="003A7DBC"/>
    <w:rsid w:val="00413445"/>
    <w:rsid w:val="0043120C"/>
    <w:rsid w:val="00432CEB"/>
    <w:rsid w:val="0044236E"/>
    <w:rsid w:val="00443979"/>
    <w:rsid w:val="004640A9"/>
    <w:rsid w:val="0047550B"/>
    <w:rsid w:val="00476978"/>
    <w:rsid w:val="0049463C"/>
    <w:rsid w:val="004A3D17"/>
    <w:rsid w:val="004B5006"/>
    <w:rsid w:val="004C2AB6"/>
    <w:rsid w:val="004C5887"/>
    <w:rsid w:val="004C719C"/>
    <w:rsid w:val="00525DAB"/>
    <w:rsid w:val="00526F86"/>
    <w:rsid w:val="00535F34"/>
    <w:rsid w:val="0053729F"/>
    <w:rsid w:val="00563CDD"/>
    <w:rsid w:val="00565346"/>
    <w:rsid w:val="005B2674"/>
    <w:rsid w:val="005C44AD"/>
    <w:rsid w:val="0063578F"/>
    <w:rsid w:val="006419AC"/>
    <w:rsid w:val="00654A95"/>
    <w:rsid w:val="0065731A"/>
    <w:rsid w:val="006849E7"/>
    <w:rsid w:val="006A1947"/>
    <w:rsid w:val="006C1223"/>
    <w:rsid w:val="006E46DA"/>
    <w:rsid w:val="00711B5B"/>
    <w:rsid w:val="00716213"/>
    <w:rsid w:val="00721104"/>
    <w:rsid w:val="007368C4"/>
    <w:rsid w:val="00777985"/>
    <w:rsid w:val="00790CC5"/>
    <w:rsid w:val="00794F33"/>
    <w:rsid w:val="00795F33"/>
    <w:rsid w:val="007B2E7A"/>
    <w:rsid w:val="007E422E"/>
    <w:rsid w:val="007F57BF"/>
    <w:rsid w:val="007F6C8F"/>
    <w:rsid w:val="008041C5"/>
    <w:rsid w:val="008138B8"/>
    <w:rsid w:val="00816335"/>
    <w:rsid w:val="008175DC"/>
    <w:rsid w:val="0082587F"/>
    <w:rsid w:val="00866670"/>
    <w:rsid w:val="00867385"/>
    <w:rsid w:val="008721E1"/>
    <w:rsid w:val="008922B5"/>
    <w:rsid w:val="008B6323"/>
    <w:rsid w:val="008F1F92"/>
    <w:rsid w:val="0092089B"/>
    <w:rsid w:val="00931422"/>
    <w:rsid w:val="00951AE1"/>
    <w:rsid w:val="00983F00"/>
    <w:rsid w:val="0099375D"/>
    <w:rsid w:val="009A2E8F"/>
    <w:rsid w:val="009B015F"/>
    <w:rsid w:val="009C73AA"/>
    <w:rsid w:val="009F4569"/>
    <w:rsid w:val="00A036A2"/>
    <w:rsid w:val="00A2032D"/>
    <w:rsid w:val="00A27888"/>
    <w:rsid w:val="00A34358"/>
    <w:rsid w:val="00A41BD6"/>
    <w:rsid w:val="00A73EAC"/>
    <w:rsid w:val="00A919C2"/>
    <w:rsid w:val="00AC17CE"/>
    <w:rsid w:val="00AC5284"/>
    <w:rsid w:val="00AE0368"/>
    <w:rsid w:val="00B078F8"/>
    <w:rsid w:val="00B63765"/>
    <w:rsid w:val="00B64366"/>
    <w:rsid w:val="00B77FCB"/>
    <w:rsid w:val="00BB6D5E"/>
    <w:rsid w:val="00BC517C"/>
    <w:rsid w:val="00BD380D"/>
    <w:rsid w:val="00BE4432"/>
    <w:rsid w:val="00C2025B"/>
    <w:rsid w:val="00C30C8F"/>
    <w:rsid w:val="00C651E9"/>
    <w:rsid w:val="00CB10DE"/>
    <w:rsid w:val="00CC145C"/>
    <w:rsid w:val="00CC7927"/>
    <w:rsid w:val="00D338B3"/>
    <w:rsid w:val="00D40C1E"/>
    <w:rsid w:val="00D71C64"/>
    <w:rsid w:val="00D77472"/>
    <w:rsid w:val="00D904C0"/>
    <w:rsid w:val="00DB04CD"/>
    <w:rsid w:val="00DE0AD5"/>
    <w:rsid w:val="00DE2942"/>
    <w:rsid w:val="00DE3D17"/>
    <w:rsid w:val="00DF3411"/>
    <w:rsid w:val="00E06116"/>
    <w:rsid w:val="00E367A3"/>
    <w:rsid w:val="00E532A4"/>
    <w:rsid w:val="00E6296A"/>
    <w:rsid w:val="00E762D2"/>
    <w:rsid w:val="00ED5C9F"/>
    <w:rsid w:val="00F712A6"/>
    <w:rsid w:val="00F86C4B"/>
    <w:rsid w:val="00F92D6C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A70768F"/>
  <w15:chartTrackingRefBased/>
  <w15:docId w15:val="{271613C5-F200-42DF-83D7-204B89F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0A6"/>
    <w:rPr>
      <w:rFonts w:ascii="Nunito Sans" w:eastAsiaTheme="minorEastAsia" w:hAnsi="Nunito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B4C"/>
    <w:pPr>
      <w:keepNext/>
      <w:keepLines/>
      <w:spacing w:before="240" w:after="0"/>
      <w:outlineLvl w:val="0"/>
    </w:pPr>
    <w:rPr>
      <w:rFonts w:eastAsiaTheme="majorEastAsia" w:cstheme="majorBidi"/>
      <w:color w:val="512A44" w:themeColor="accent6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0A6"/>
    <w:rPr>
      <w:rFonts w:ascii="Nunito Sans" w:eastAsiaTheme="minorEastAsia" w:hAnsi="Nunito Sans"/>
    </w:rPr>
  </w:style>
  <w:style w:type="paragraph" w:styleId="Footer">
    <w:name w:val="footer"/>
    <w:basedOn w:val="Normal"/>
    <w:link w:val="FooterChar"/>
    <w:uiPriority w:val="99"/>
    <w:unhideWhenUsed/>
    <w:rsid w:val="000B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0A6"/>
    <w:rPr>
      <w:rFonts w:ascii="Nunito Sans" w:eastAsiaTheme="minorEastAsia" w:hAnsi="Nunito Sans"/>
    </w:rPr>
  </w:style>
  <w:style w:type="paragraph" w:styleId="ListParagraph">
    <w:name w:val="List Paragraph"/>
    <w:basedOn w:val="Normal"/>
    <w:uiPriority w:val="34"/>
    <w:qFormat/>
    <w:rsid w:val="00171F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338B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C73AA"/>
    <w:pPr>
      <w:spacing w:after="0" w:line="240" w:lineRule="auto"/>
      <w:contextualSpacing/>
    </w:pPr>
    <w:rPr>
      <w:rFonts w:ascii="Montserrat SemiBold" w:eastAsiaTheme="majorEastAsia" w:hAnsi="Montserrat SemiBold" w:cstheme="majorBidi"/>
      <w:color w:val="244C5A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3AA"/>
    <w:rPr>
      <w:rFonts w:ascii="Montserrat SemiBold" w:eastAsiaTheme="majorEastAsia" w:hAnsi="Montserrat SemiBold" w:cstheme="majorBidi"/>
      <w:color w:val="244C5A" w:themeColor="accent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2B4C"/>
    <w:rPr>
      <w:rFonts w:ascii="Nunito Sans" w:eastAsiaTheme="majorEastAsia" w:hAnsi="Nunito Sans" w:cstheme="majorBidi"/>
      <w:color w:val="512A44" w:themeColor="accent6"/>
      <w:sz w:val="36"/>
      <w:szCs w:val="32"/>
    </w:rPr>
  </w:style>
  <w:style w:type="paragraph" w:styleId="NoSpacing">
    <w:name w:val="No Spacing"/>
    <w:uiPriority w:val="1"/>
    <w:qFormat/>
    <w:rsid w:val="0065731A"/>
    <w:pPr>
      <w:spacing w:after="0" w:line="240" w:lineRule="auto"/>
    </w:pPr>
    <w:rPr>
      <w:rFonts w:ascii="Nunito Sans" w:eastAsiaTheme="minorEastAsia" w:hAnsi="Nunito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4A3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D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D17"/>
    <w:rPr>
      <w:rFonts w:ascii="Nunito Sans" w:eastAsiaTheme="minorEastAsia" w:hAnsi="Nunito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D17"/>
    <w:rPr>
      <w:rFonts w:ascii="Nunito Sans" w:eastAsiaTheme="minorEastAsia" w:hAnsi="Nunito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17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44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D0416F-E6FA-475B-8FC4-E2D567F77B79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741F098-E48D-41A6-826B-A14D1A19602E}">
      <dgm:prSet phldrT="[Text]"/>
      <dgm:spPr/>
      <dgm:t>
        <a:bodyPr/>
        <a:lstStyle/>
        <a:p>
          <a:r>
            <a:rPr lang="en-US"/>
            <a:t>Day 1</a:t>
          </a:r>
        </a:p>
      </dgm:t>
    </dgm:pt>
    <dgm:pt modelId="{F3912E9E-DF94-4667-8B24-7B1D4FA880F0}" type="parTrans" cxnId="{0A8838DF-4AB6-4DF8-BF8A-389D29670281}">
      <dgm:prSet/>
      <dgm:spPr/>
      <dgm:t>
        <a:bodyPr/>
        <a:lstStyle/>
        <a:p>
          <a:endParaRPr lang="en-US"/>
        </a:p>
      </dgm:t>
    </dgm:pt>
    <dgm:pt modelId="{ADB7B5A0-382E-4D42-A458-BC38647F61FB}" type="sibTrans" cxnId="{0A8838DF-4AB6-4DF8-BF8A-389D29670281}">
      <dgm:prSet/>
      <dgm:spPr/>
      <dgm:t>
        <a:bodyPr/>
        <a:lstStyle/>
        <a:p>
          <a:endParaRPr lang="en-US"/>
        </a:p>
      </dgm:t>
    </dgm:pt>
    <dgm:pt modelId="{C20C64D1-F359-4CA7-B7C5-6251ACD29970}">
      <dgm:prSet phldrT="[Text]"/>
      <dgm:spPr/>
      <dgm:t>
        <a:bodyPr/>
        <a:lstStyle/>
        <a:p>
          <a:r>
            <a:rPr lang="en-US"/>
            <a:t>ATIPP Office sends request to DAO.</a:t>
          </a:r>
        </a:p>
      </dgm:t>
    </dgm:pt>
    <dgm:pt modelId="{0755D6E3-9868-4B32-BC45-0B881A215ECD}" type="parTrans" cxnId="{17B4D04E-C23C-412F-BB12-8E487E91DD29}">
      <dgm:prSet/>
      <dgm:spPr/>
      <dgm:t>
        <a:bodyPr/>
        <a:lstStyle/>
        <a:p>
          <a:endParaRPr lang="en-US"/>
        </a:p>
      </dgm:t>
    </dgm:pt>
    <dgm:pt modelId="{C2372929-BC7F-42EB-B3B0-B288F4A185D6}" type="sibTrans" cxnId="{17B4D04E-C23C-412F-BB12-8E487E91DD29}">
      <dgm:prSet/>
      <dgm:spPr/>
      <dgm:t>
        <a:bodyPr/>
        <a:lstStyle/>
        <a:p>
          <a:endParaRPr lang="en-US"/>
        </a:p>
      </dgm:t>
    </dgm:pt>
    <dgm:pt modelId="{8B57AC93-AB8B-4180-BFBB-187DB2CDCB1A}">
      <dgm:prSet phldrT="[Text]"/>
      <dgm:spPr/>
      <dgm:t>
        <a:bodyPr/>
        <a:lstStyle/>
        <a:p>
          <a:r>
            <a:rPr lang="en-US"/>
            <a:t>Day 3</a:t>
          </a:r>
        </a:p>
      </dgm:t>
    </dgm:pt>
    <dgm:pt modelId="{348AC1E3-A296-4C52-B30E-D419DBD2E7B1}" type="parTrans" cxnId="{B2988EBE-E5FD-46DF-BAB8-A9460F2B0099}">
      <dgm:prSet/>
      <dgm:spPr/>
      <dgm:t>
        <a:bodyPr/>
        <a:lstStyle/>
        <a:p>
          <a:endParaRPr lang="en-US"/>
        </a:p>
      </dgm:t>
    </dgm:pt>
    <dgm:pt modelId="{767CF1C2-BB97-4CFE-BE97-023C2BFAB9C2}" type="sibTrans" cxnId="{B2988EBE-E5FD-46DF-BAB8-A9460F2B0099}">
      <dgm:prSet/>
      <dgm:spPr/>
      <dgm:t>
        <a:bodyPr/>
        <a:lstStyle/>
        <a:p>
          <a:endParaRPr lang="en-US"/>
        </a:p>
      </dgm:t>
    </dgm:pt>
    <dgm:pt modelId="{556FB8D7-D1D9-461F-B04A-36279E5E0320}">
      <dgm:prSet phldrT="[Text]"/>
      <dgm:spPr/>
      <dgm:t>
        <a:bodyPr/>
        <a:lstStyle/>
        <a:p>
          <a:r>
            <a:rPr lang="en-US"/>
            <a:t>DAO informs  ATIPP Office if RfC needed.</a:t>
          </a:r>
        </a:p>
      </dgm:t>
    </dgm:pt>
    <dgm:pt modelId="{15C33CAF-FF3C-4FD4-B7FE-97345EB05ECF}" type="parTrans" cxnId="{B68BD55C-3652-4E4F-9BF8-C45C11A0347F}">
      <dgm:prSet/>
      <dgm:spPr/>
      <dgm:t>
        <a:bodyPr/>
        <a:lstStyle/>
        <a:p>
          <a:endParaRPr lang="en-US"/>
        </a:p>
      </dgm:t>
    </dgm:pt>
    <dgm:pt modelId="{4F6E68F0-BDBF-4ED2-94CC-4314E29309FD}" type="sibTrans" cxnId="{B68BD55C-3652-4E4F-9BF8-C45C11A0347F}">
      <dgm:prSet/>
      <dgm:spPr/>
      <dgm:t>
        <a:bodyPr/>
        <a:lstStyle/>
        <a:p>
          <a:endParaRPr lang="en-US"/>
        </a:p>
      </dgm:t>
    </dgm:pt>
    <dgm:pt modelId="{41AD33C6-3CB4-458F-8D3C-317D1971FAAC}">
      <dgm:prSet phldrT="[Text]"/>
      <dgm:spPr/>
      <dgm:t>
        <a:bodyPr/>
        <a:lstStyle/>
        <a:p>
          <a:r>
            <a:rPr lang="en-US"/>
            <a:t>Day 10</a:t>
          </a:r>
        </a:p>
      </dgm:t>
    </dgm:pt>
    <dgm:pt modelId="{DCEA58A3-83BB-4BAC-ACFF-8315FEA765AC}" type="parTrans" cxnId="{2D52C3C5-4ECE-4A5C-9CAF-AE9523FE5870}">
      <dgm:prSet/>
      <dgm:spPr/>
      <dgm:t>
        <a:bodyPr/>
        <a:lstStyle/>
        <a:p>
          <a:endParaRPr lang="en-US"/>
        </a:p>
      </dgm:t>
    </dgm:pt>
    <dgm:pt modelId="{52C9DAEC-8EF0-4871-92C1-AEFBB8A90F11}" type="sibTrans" cxnId="{2D52C3C5-4ECE-4A5C-9CAF-AE9523FE5870}">
      <dgm:prSet/>
      <dgm:spPr/>
      <dgm:t>
        <a:bodyPr/>
        <a:lstStyle/>
        <a:p>
          <a:endParaRPr lang="en-US"/>
        </a:p>
      </dgm:t>
    </dgm:pt>
    <dgm:pt modelId="{B6205B6D-7BDA-417B-8D61-B6749905E081}">
      <dgm:prSet phldrT="[Text]"/>
      <dgm:spPr/>
      <dgm:t>
        <a:bodyPr/>
        <a:lstStyle/>
        <a:p>
          <a:r>
            <a:rPr lang="en-US"/>
            <a:t>APO must accept or refuse request.</a:t>
          </a:r>
        </a:p>
      </dgm:t>
    </dgm:pt>
    <dgm:pt modelId="{273CBB61-CDDC-4113-A27D-FEED57ED41E2}" type="parTrans" cxnId="{AA38D1B0-1C9D-47B1-A3F9-1C374C66B6AF}">
      <dgm:prSet/>
      <dgm:spPr/>
      <dgm:t>
        <a:bodyPr/>
        <a:lstStyle/>
        <a:p>
          <a:endParaRPr lang="en-US"/>
        </a:p>
      </dgm:t>
    </dgm:pt>
    <dgm:pt modelId="{63E956CA-D633-4022-BD3C-DBCD0234788C}" type="sibTrans" cxnId="{AA38D1B0-1C9D-47B1-A3F9-1C374C66B6AF}">
      <dgm:prSet/>
      <dgm:spPr/>
      <dgm:t>
        <a:bodyPr/>
        <a:lstStyle/>
        <a:p>
          <a:endParaRPr lang="en-US"/>
        </a:p>
      </dgm:t>
    </dgm:pt>
    <dgm:pt modelId="{C8EF38C6-7CDE-476C-8FB8-194EB351BA82}" type="pres">
      <dgm:prSet presAssocID="{7AD0416F-E6FA-475B-8FC4-E2D567F77B79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D647765-7967-4B61-ACD1-E814BA8C8F8A}" type="pres">
      <dgm:prSet presAssocID="{D741F098-E48D-41A6-826B-A14D1A19602E}" presName="compNode" presStyleCnt="0"/>
      <dgm:spPr/>
    </dgm:pt>
    <dgm:pt modelId="{51A87F3C-06FB-4FD8-9971-B95D6DF35605}" type="pres">
      <dgm:prSet presAssocID="{D741F098-E48D-41A6-826B-A14D1A19602E}" presName="noGeometry" presStyleCnt="0"/>
      <dgm:spPr/>
    </dgm:pt>
    <dgm:pt modelId="{FAEC844E-62B6-4963-8DB2-45E5FCD33432}" type="pres">
      <dgm:prSet presAssocID="{D741F098-E48D-41A6-826B-A14D1A19602E}" presName="childTextVisible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0D9E9E-1F46-49C7-8C04-21276B9847A4}" type="pres">
      <dgm:prSet presAssocID="{D741F098-E48D-41A6-826B-A14D1A19602E}" presName="childTextHidden" presStyleLbl="bgAccFollowNode1" presStyleIdx="0" presStyleCnt="3"/>
      <dgm:spPr/>
      <dgm:t>
        <a:bodyPr/>
        <a:lstStyle/>
        <a:p>
          <a:endParaRPr lang="en-US"/>
        </a:p>
      </dgm:t>
    </dgm:pt>
    <dgm:pt modelId="{BE8D4813-5AE2-43FB-9332-20DEB03BB91E}" type="pres">
      <dgm:prSet presAssocID="{D741F098-E48D-41A6-826B-A14D1A19602E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AA599A-F93C-4E6F-AE7E-54528257D12E}" type="pres">
      <dgm:prSet presAssocID="{D741F098-E48D-41A6-826B-A14D1A19602E}" presName="aSpace" presStyleCnt="0"/>
      <dgm:spPr/>
    </dgm:pt>
    <dgm:pt modelId="{1B87194A-5748-4586-A351-335A3C81B51F}" type="pres">
      <dgm:prSet presAssocID="{8B57AC93-AB8B-4180-BFBB-187DB2CDCB1A}" presName="compNode" presStyleCnt="0"/>
      <dgm:spPr/>
    </dgm:pt>
    <dgm:pt modelId="{17C06128-A195-4A98-8E31-BBD60F086C1B}" type="pres">
      <dgm:prSet presAssocID="{8B57AC93-AB8B-4180-BFBB-187DB2CDCB1A}" presName="noGeometry" presStyleCnt="0"/>
      <dgm:spPr/>
    </dgm:pt>
    <dgm:pt modelId="{ED7EDCBB-687D-4E40-891D-11CCC0247D44}" type="pres">
      <dgm:prSet presAssocID="{8B57AC93-AB8B-4180-BFBB-187DB2CDCB1A}" presName="childTextVisible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84E21C-392A-40A7-92C0-AF58301D74B9}" type="pres">
      <dgm:prSet presAssocID="{8B57AC93-AB8B-4180-BFBB-187DB2CDCB1A}" presName="childTextHidden" presStyleLbl="bgAccFollowNode1" presStyleIdx="1" presStyleCnt="3"/>
      <dgm:spPr/>
      <dgm:t>
        <a:bodyPr/>
        <a:lstStyle/>
        <a:p>
          <a:endParaRPr lang="en-US"/>
        </a:p>
      </dgm:t>
    </dgm:pt>
    <dgm:pt modelId="{E4E840C8-312B-4B33-8835-CA7277E797A8}" type="pres">
      <dgm:prSet presAssocID="{8B57AC93-AB8B-4180-BFBB-187DB2CDCB1A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07DECA-8456-43E1-9718-9FCDCD211BB5}" type="pres">
      <dgm:prSet presAssocID="{8B57AC93-AB8B-4180-BFBB-187DB2CDCB1A}" presName="aSpace" presStyleCnt="0"/>
      <dgm:spPr/>
    </dgm:pt>
    <dgm:pt modelId="{3ECEEB57-E18F-446D-B56E-43C2274AFA3B}" type="pres">
      <dgm:prSet presAssocID="{41AD33C6-3CB4-458F-8D3C-317D1971FAAC}" presName="compNode" presStyleCnt="0"/>
      <dgm:spPr/>
    </dgm:pt>
    <dgm:pt modelId="{6B3AB48F-BE4A-4CB6-9BCE-1099E969CF2C}" type="pres">
      <dgm:prSet presAssocID="{41AD33C6-3CB4-458F-8D3C-317D1971FAAC}" presName="noGeometry" presStyleCnt="0"/>
      <dgm:spPr/>
    </dgm:pt>
    <dgm:pt modelId="{46609B4C-A695-49DC-89A1-3AA258C2D267}" type="pres">
      <dgm:prSet presAssocID="{41AD33C6-3CB4-458F-8D3C-317D1971FAAC}" presName="childTextVisible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582561-8714-455E-ACBF-B9B6E5D0930C}" type="pres">
      <dgm:prSet presAssocID="{41AD33C6-3CB4-458F-8D3C-317D1971FAAC}" presName="childTextHidden" presStyleLbl="bgAccFollowNode1" presStyleIdx="2" presStyleCnt="3"/>
      <dgm:spPr/>
      <dgm:t>
        <a:bodyPr/>
        <a:lstStyle/>
        <a:p>
          <a:endParaRPr lang="en-US"/>
        </a:p>
      </dgm:t>
    </dgm:pt>
    <dgm:pt modelId="{2AFCE912-F1F7-419B-881E-46A51571716C}" type="pres">
      <dgm:prSet presAssocID="{41AD33C6-3CB4-458F-8D3C-317D1971FAAC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A8838DF-4AB6-4DF8-BF8A-389D29670281}" srcId="{7AD0416F-E6FA-475B-8FC4-E2D567F77B79}" destId="{D741F098-E48D-41A6-826B-A14D1A19602E}" srcOrd="0" destOrd="0" parTransId="{F3912E9E-DF94-4667-8B24-7B1D4FA880F0}" sibTransId="{ADB7B5A0-382E-4D42-A458-BC38647F61FB}"/>
    <dgm:cxn modelId="{1125F59C-BCFB-4CC7-9531-833E53A097CF}" type="presOf" srcId="{7AD0416F-E6FA-475B-8FC4-E2D567F77B79}" destId="{C8EF38C6-7CDE-476C-8FB8-194EB351BA82}" srcOrd="0" destOrd="0" presId="urn:microsoft.com/office/officeart/2005/8/layout/hProcess6"/>
    <dgm:cxn modelId="{4719658A-7E29-41C7-948D-69F01E9BA9C5}" type="presOf" srcId="{D741F098-E48D-41A6-826B-A14D1A19602E}" destId="{BE8D4813-5AE2-43FB-9332-20DEB03BB91E}" srcOrd="0" destOrd="0" presId="urn:microsoft.com/office/officeart/2005/8/layout/hProcess6"/>
    <dgm:cxn modelId="{5B8E3A20-6E75-443E-8771-91ACDD0CB993}" type="presOf" srcId="{C20C64D1-F359-4CA7-B7C5-6251ACD29970}" destId="{F00D9E9E-1F46-49C7-8C04-21276B9847A4}" srcOrd="1" destOrd="0" presId="urn:microsoft.com/office/officeart/2005/8/layout/hProcess6"/>
    <dgm:cxn modelId="{AA38D1B0-1C9D-47B1-A3F9-1C374C66B6AF}" srcId="{41AD33C6-3CB4-458F-8D3C-317D1971FAAC}" destId="{B6205B6D-7BDA-417B-8D61-B6749905E081}" srcOrd="0" destOrd="0" parTransId="{273CBB61-CDDC-4113-A27D-FEED57ED41E2}" sibTransId="{63E956CA-D633-4022-BD3C-DBCD0234788C}"/>
    <dgm:cxn modelId="{DAA0BC76-5EED-4007-947B-11B226535455}" type="presOf" srcId="{556FB8D7-D1D9-461F-B04A-36279E5E0320}" destId="{8984E21C-392A-40A7-92C0-AF58301D74B9}" srcOrd="1" destOrd="0" presId="urn:microsoft.com/office/officeart/2005/8/layout/hProcess6"/>
    <dgm:cxn modelId="{032FB26A-18A3-4BEB-BD35-B1175176759F}" type="presOf" srcId="{C20C64D1-F359-4CA7-B7C5-6251ACD29970}" destId="{FAEC844E-62B6-4963-8DB2-45E5FCD33432}" srcOrd="0" destOrd="0" presId="urn:microsoft.com/office/officeart/2005/8/layout/hProcess6"/>
    <dgm:cxn modelId="{5D3C01D9-ADE6-49B0-AADB-B6208B734157}" type="presOf" srcId="{B6205B6D-7BDA-417B-8D61-B6749905E081}" destId="{CF582561-8714-455E-ACBF-B9B6E5D0930C}" srcOrd="1" destOrd="0" presId="urn:microsoft.com/office/officeart/2005/8/layout/hProcess6"/>
    <dgm:cxn modelId="{B2988EBE-E5FD-46DF-BAB8-A9460F2B0099}" srcId="{7AD0416F-E6FA-475B-8FC4-E2D567F77B79}" destId="{8B57AC93-AB8B-4180-BFBB-187DB2CDCB1A}" srcOrd="1" destOrd="0" parTransId="{348AC1E3-A296-4C52-B30E-D419DBD2E7B1}" sibTransId="{767CF1C2-BB97-4CFE-BE97-023C2BFAB9C2}"/>
    <dgm:cxn modelId="{B68BD55C-3652-4E4F-9BF8-C45C11A0347F}" srcId="{8B57AC93-AB8B-4180-BFBB-187DB2CDCB1A}" destId="{556FB8D7-D1D9-461F-B04A-36279E5E0320}" srcOrd="0" destOrd="0" parTransId="{15C33CAF-FF3C-4FD4-B7FE-97345EB05ECF}" sibTransId="{4F6E68F0-BDBF-4ED2-94CC-4314E29309FD}"/>
    <dgm:cxn modelId="{366EA9DC-8740-4CF5-9300-13BED8876664}" type="presOf" srcId="{B6205B6D-7BDA-417B-8D61-B6749905E081}" destId="{46609B4C-A695-49DC-89A1-3AA258C2D267}" srcOrd="0" destOrd="0" presId="urn:microsoft.com/office/officeart/2005/8/layout/hProcess6"/>
    <dgm:cxn modelId="{F8F3A807-8340-4F73-A721-DB105D0C7A39}" type="presOf" srcId="{556FB8D7-D1D9-461F-B04A-36279E5E0320}" destId="{ED7EDCBB-687D-4E40-891D-11CCC0247D44}" srcOrd="0" destOrd="0" presId="urn:microsoft.com/office/officeart/2005/8/layout/hProcess6"/>
    <dgm:cxn modelId="{F3AF5C17-4674-4094-A930-727B91E74D7F}" type="presOf" srcId="{41AD33C6-3CB4-458F-8D3C-317D1971FAAC}" destId="{2AFCE912-F1F7-419B-881E-46A51571716C}" srcOrd="0" destOrd="0" presId="urn:microsoft.com/office/officeart/2005/8/layout/hProcess6"/>
    <dgm:cxn modelId="{17B4D04E-C23C-412F-BB12-8E487E91DD29}" srcId="{D741F098-E48D-41A6-826B-A14D1A19602E}" destId="{C20C64D1-F359-4CA7-B7C5-6251ACD29970}" srcOrd="0" destOrd="0" parTransId="{0755D6E3-9868-4B32-BC45-0B881A215ECD}" sibTransId="{C2372929-BC7F-42EB-B3B0-B288F4A185D6}"/>
    <dgm:cxn modelId="{4B31C288-3009-4DB6-8537-36FF858DDDFB}" type="presOf" srcId="{8B57AC93-AB8B-4180-BFBB-187DB2CDCB1A}" destId="{E4E840C8-312B-4B33-8835-CA7277E797A8}" srcOrd="0" destOrd="0" presId="urn:microsoft.com/office/officeart/2005/8/layout/hProcess6"/>
    <dgm:cxn modelId="{2D52C3C5-4ECE-4A5C-9CAF-AE9523FE5870}" srcId="{7AD0416F-E6FA-475B-8FC4-E2D567F77B79}" destId="{41AD33C6-3CB4-458F-8D3C-317D1971FAAC}" srcOrd="2" destOrd="0" parTransId="{DCEA58A3-83BB-4BAC-ACFF-8315FEA765AC}" sibTransId="{52C9DAEC-8EF0-4871-92C1-AEFBB8A90F11}"/>
    <dgm:cxn modelId="{06B66651-86B8-402A-B394-53C0B1032498}" type="presParOf" srcId="{C8EF38C6-7CDE-476C-8FB8-194EB351BA82}" destId="{CD647765-7967-4B61-ACD1-E814BA8C8F8A}" srcOrd="0" destOrd="0" presId="urn:microsoft.com/office/officeart/2005/8/layout/hProcess6"/>
    <dgm:cxn modelId="{BB47CE33-2517-4829-AD2A-C54177E69B59}" type="presParOf" srcId="{CD647765-7967-4B61-ACD1-E814BA8C8F8A}" destId="{51A87F3C-06FB-4FD8-9971-B95D6DF35605}" srcOrd="0" destOrd="0" presId="urn:microsoft.com/office/officeart/2005/8/layout/hProcess6"/>
    <dgm:cxn modelId="{4880AE2A-B295-4176-B67F-5E68E17466E6}" type="presParOf" srcId="{CD647765-7967-4B61-ACD1-E814BA8C8F8A}" destId="{FAEC844E-62B6-4963-8DB2-45E5FCD33432}" srcOrd="1" destOrd="0" presId="urn:microsoft.com/office/officeart/2005/8/layout/hProcess6"/>
    <dgm:cxn modelId="{F43D0A14-39FE-44BA-92B6-7826221B47EE}" type="presParOf" srcId="{CD647765-7967-4B61-ACD1-E814BA8C8F8A}" destId="{F00D9E9E-1F46-49C7-8C04-21276B9847A4}" srcOrd="2" destOrd="0" presId="urn:microsoft.com/office/officeart/2005/8/layout/hProcess6"/>
    <dgm:cxn modelId="{50718173-A8E7-442B-884B-576A7D2B0AB0}" type="presParOf" srcId="{CD647765-7967-4B61-ACD1-E814BA8C8F8A}" destId="{BE8D4813-5AE2-43FB-9332-20DEB03BB91E}" srcOrd="3" destOrd="0" presId="urn:microsoft.com/office/officeart/2005/8/layout/hProcess6"/>
    <dgm:cxn modelId="{5249ACF6-339B-4247-BE02-C63DBF8F66A2}" type="presParOf" srcId="{C8EF38C6-7CDE-476C-8FB8-194EB351BA82}" destId="{4AAA599A-F93C-4E6F-AE7E-54528257D12E}" srcOrd="1" destOrd="0" presId="urn:microsoft.com/office/officeart/2005/8/layout/hProcess6"/>
    <dgm:cxn modelId="{37407AC1-8FE5-4D04-A605-546537E6F53E}" type="presParOf" srcId="{C8EF38C6-7CDE-476C-8FB8-194EB351BA82}" destId="{1B87194A-5748-4586-A351-335A3C81B51F}" srcOrd="2" destOrd="0" presId="urn:microsoft.com/office/officeart/2005/8/layout/hProcess6"/>
    <dgm:cxn modelId="{BE466ED4-A190-464B-B379-1F0B1D3D0129}" type="presParOf" srcId="{1B87194A-5748-4586-A351-335A3C81B51F}" destId="{17C06128-A195-4A98-8E31-BBD60F086C1B}" srcOrd="0" destOrd="0" presId="urn:microsoft.com/office/officeart/2005/8/layout/hProcess6"/>
    <dgm:cxn modelId="{808B5A43-B5C6-45C3-B02C-2A22CEA143D8}" type="presParOf" srcId="{1B87194A-5748-4586-A351-335A3C81B51F}" destId="{ED7EDCBB-687D-4E40-891D-11CCC0247D44}" srcOrd="1" destOrd="0" presId="urn:microsoft.com/office/officeart/2005/8/layout/hProcess6"/>
    <dgm:cxn modelId="{DBD5B5C4-76FB-4861-ABE7-AF61A49A2501}" type="presParOf" srcId="{1B87194A-5748-4586-A351-335A3C81B51F}" destId="{8984E21C-392A-40A7-92C0-AF58301D74B9}" srcOrd="2" destOrd="0" presId="urn:microsoft.com/office/officeart/2005/8/layout/hProcess6"/>
    <dgm:cxn modelId="{3B27E0A6-58D8-412A-8C58-D0F422CC4A9F}" type="presParOf" srcId="{1B87194A-5748-4586-A351-335A3C81B51F}" destId="{E4E840C8-312B-4B33-8835-CA7277E797A8}" srcOrd="3" destOrd="0" presId="urn:microsoft.com/office/officeart/2005/8/layout/hProcess6"/>
    <dgm:cxn modelId="{75955A38-16B9-4B90-9797-F2F36F11FCE1}" type="presParOf" srcId="{C8EF38C6-7CDE-476C-8FB8-194EB351BA82}" destId="{6307DECA-8456-43E1-9718-9FCDCD211BB5}" srcOrd="3" destOrd="0" presId="urn:microsoft.com/office/officeart/2005/8/layout/hProcess6"/>
    <dgm:cxn modelId="{80B232C9-D3F2-426F-B139-6B213B757FBF}" type="presParOf" srcId="{C8EF38C6-7CDE-476C-8FB8-194EB351BA82}" destId="{3ECEEB57-E18F-446D-B56E-43C2274AFA3B}" srcOrd="4" destOrd="0" presId="urn:microsoft.com/office/officeart/2005/8/layout/hProcess6"/>
    <dgm:cxn modelId="{05D9D8FC-7F47-4461-9E48-1659FF7FAFB7}" type="presParOf" srcId="{3ECEEB57-E18F-446D-B56E-43C2274AFA3B}" destId="{6B3AB48F-BE4A-4CB6-9BCE-1099E969CF2C}" srcOrd="0" destOrd="0" presId="urn:microsoft.com/office/officeart/2005/8/layout/hProcess6"/>
    <dgm:cxn modelId="{D4F7CC86-1321-49FE-91CB-09CEDB1D3CF6}" type="presParOf" srcId="{3ECEEB57-E18F-446D-B56E-43C2274AFA3B}" destId="{46609B4C-A695-49DC-89A1-3AA258C2D267}" srcOrd="1" destOrd="0" presId="urn:microsoft.com/office/officeart/2005/8/layout/hProcess6"/>
    <dgm:cxn modelId="{3F81A81E-7097-439D-B6A7-C24B9A038B51}" type="presParOf" srcId="{3ECEEB57-E18F-446D-B56E-43C2274AFA3B}" destId="{CF582561-8714-455E-ACBF-B9B6E5D0930C}" srcOrd="2" destOrd="0" presId="urn:microsoft.com/office/officeart/2005/8/layout/hProcess6"/>
    <dgm:cxn modelId="{A9204911-F773-4192-94E6-79C76F7DF422}" type="presParOf" srcId="{3ECEEB57-E18F-446D-B56E-43C2274AFA3B}" destId="{2AFCE912-F1F7-419B-881E-46A51571716C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EC844E-62B6-4963-8DB2-45E5FCD33432}">
      <dsp:nvSpPr>
        <dsp:cNvPr id="0" name=""/>
        <dsp:cNvSpPr/>
      </dsp:nvSpPr>
      <dsp:spPr>
        <a:xfrm>
          <a:off x="864464" y="0"/>
          <a:ext cx="1209522" cy="1057275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ATIPP Office sends request to DAO.</a:t>
          </a:r>
        </a:p>
      </dsp:txBody>
      <dsp:txXfrm>
        <a:off x="1166845" y="158591"/>
        <a:ext cx="589642" cy="740093"/>
      </dsp:txXfrm>
    </dsp:sp>
    <dsp:sp modelId="{BE8D4813-5AE2-43FB-9332-20DEB03BB91E}">
      <dsp:nvSpPr>
        <dsp:cNvPr id="0" name=""/>
        <dsp:cNvSpPr/>
      </dsp:nvSpPr>
      <dsp:spPr>
        <a:xfrm>
          <a:off x="562084" y="226256"/>
          <a:ext cx="604761" cy="6047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Day 1</a:t>
          </a:r>
        </a:p>
      </dsp:txBody>
      <dsp:txXfrm>
        <a:off x="650649" y="314821"/>
        <a:ext cx="427631" cy="427631"/>
      </dsp:txXfrm>
    </dsp:sp>
    <dsp:sp modelId="{ED7EDCBB-687D-4E40-891D-11CCC0247D44}">
      <dsp:nvSpPr>
        <dsp:cNvPr id="0" name=""/>
        <dsp:cNvSpPr/>
      </dsp:nvSpPr>
      <dsp:spPr>
        <a:xfrm>
          <a:off x="2470604" y="0"/>
          <a:ext cx="1209522" cy="1057275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DAO informs  ATIPP Office if RfC needed.</a:t>
          </a:r>
        </a:p>
      </dsp:txBody>
      <dsp:txXfrm>
        <a:off x="2772984" y="158591"/>
        <a:ext cx="589642" cy="740093"/>
      </dsp:txXfrm>
    </dsp:sp>
    <dsp:sp modelId="{E4E840C8-312B-4B33-8835-CA7277E797A8}">
      <dsp:nvSpPr>
        <dsp:cNvPr id="0" name=""/>
        <dsp:cNvSpPr/>
      </dsp:nvSpPr>
      <dsp:spPr>
        <a:xfrm>
          <a:off x="2168223" y="226256"/>
          <a:ext cx="604761" cy="6047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Day 3</a:t>
          </a:r>
        </a:p>
      </dsp:txBody>
      <dsp:txXfrm>
        <a:off x="2256788" y="314821"/>
        <a:ext cx="427631" cy="427631"/>
      </dsp:txXfrm>
    </dsp:sp>
    <dsp:sp modelId="{46609B4C-A695-49DC-89A1-3AA258C2D267}">
      <dsp:nvSpPr>
        <dsp:cNvPr id="0" name=""/>
        <dsp:cNvSpPr/>
      </dsp:nvSpPr>
      <dsp:spPr>
        <a:xfrm>
          <a:off x="4076743" y="0"/>
          <a:ext cx="1209522" cy="1057275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APO must accept or refuse request.</a:t>
          </a:r>
        </a:p>
      </dsp:txBody>
      <dsp:txXfrm>
        <a:off x="4379124" y="158591"/>
        <a:ext cx="589642" cy="740093"/>
      </dsp:txXfrm>
    </dsp:sp>
    <dsp:sp modelId="{2AFCE912-F1F7-419B-881E-46A51571716C}">
      <dsp:nvSpPr>
        <dsp:cNvPr id="0" name=""/>
        <dsp:cNvSpPr/>
      </dsp:nvSpPr>
      <dsp:spPr>
        <a:xfrm>
          <a:off x="3774362" y="226256"/>
          <a:ext cx="604761" cy="6047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Day 10</a:t>
          </a:r>
        </a:p>
      </dsp:txBody>
      <dsp:txXfrm>
        <a:off x="3862927" y="314821"/>
        <a:ext cx="427631" cy="4276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F2A900"/>
      </a:dk2>
      <a:lt2>
        <a:srgbClr val="3F3F3F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9411-C349-4C0E-8F26-4309C060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ATIPP office guidance: Clarifying requests</dc:creator>
  <cp:keywords/>
  <dc:description/>
  <cp:lastModifiedBy>Gwen.Rempel</cp:lastModifiedBy>
  <cp:revision>7</cp:revision>
  <dcterms:created xsi:type="dcterms:W3CDTF">2021-03-22T20:09:00Z</dcterms:created>
  <dcterms:modified xsi:type="dcterms:W3CDTF">2021-03-31T16:43:00Z</dcterms:modified>
</cp:coreProperties>
</file>