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B3" w:rsidRDefault="00C854B3" w:rsidP="00C854B3">
      <w:pPr>
        <w:pStyle w:val="Heading2"/>
      </w:pPr>
      <w:bookmarkStart w:id="0" w:name="_GoBack"/>
      <w:bookmarkEnd w:id="0"/>
    </w:p>
    <w:p w:rsidR="00FB61A4" w:rsidRDefault="00FB61A4" w:rsidP="00FB61A4">
      <w:pPr>
        <w:pStyle w:val="Heading1"/>
      </w:pPr>
      <w:r>
        <w:t>HOW TO USE THIS MANUAL</w:t>
      </w:r>
    </w:p>
    <w:p w:rsidR="00FB61A4" w:rsidRPr="00FB61A4" w:rsidRDefault="00B41839" w:rsidP="00FB61A4">
      <w:r>
        <w:pict>
          <v:rect id="_x0000_i1025" style="width:468pt;height:1.5pt" o:hralign="center" o:hrstd="t" o:hrnoshade="t" o:hr="t" fillcolor="#44546a [3215]" stroked="f"/>
        </w:pict>
      </w:r>
    </w:p>
    <w:p w:rsidR="00C854B3" w:rsidRDefault="00FB61A4" w:rsidP="00C854B3">
      <w:r>
        <w:t>This manual</w:t>
      </w:r>
      <w:r w:rsidR="00316A9A">
        <w:t xml:space="preserve"> was</w:t>
      </w:r>
      <w:r w:rsidR="00D92B28">
        <w:t xml:space="preserve"> written by the ATIPP Office under </w:t>
      </w:r>
      <w:r w:rsidR="00316A9A">
        <w:t xml:space="preserve">the </w:t>
      </w:r>
      <w:r w:rsidR="00D92B28">
        <w:t>direction of the Access and Privacy Officer (APO)</w:t>
      </w:r>
      <w:r>
        <w:t xml:space="preserve"> </w:t>
      </w:r>
      <w:r w:rsidR="00316A9A">
        <w:t xml:space="preserve">and </w:t>
      </w:r>
      <w:r>
        <w:t xml:space="preserve">serves as an INTERPRETATION GUIDE to </w:t>
      </w:r>
      <w:r w:rsidR="00353B37">
        <w:t>Yukon’s</w:t>
      </w:r>
      <w:r>
        <w:t xml:space="preserve"> </w:t>
      </w:r>
      <w:r w:rsidRPr="00765F66">
        <w:rPr>
          <w:i/>
        </w:rPr>
        <w:t>Access to Informatio</w:t>
      </w:r>
      <w:r w:rsidR="00765F66" w:rsidRPr="00765F66">
        <w:rPr>
          <w:i/>
        </w:rPr>
        <w:t>n and Protection of Privacy Act</w:t>
      </w:r>
      <w:r w:rsidR="00765F66">
        <w:t xml:space="preserve">, commonly referred to as the </w:t>
      </w:r>
      <w:r w:rsidR="00765F66" w:rsidRPr="00B375F4">
        <w:t>ATIPP Act</w:t>
      </w:r>
      <w:r w:rsidR="00765F66" w:rsidRPr="00256592">
        <w:t>.</w:t>
      </w:r>
    </w:p>
    <w:p w:rsidR="00884767" w:rsidRDefault="00884767" w:rsidP="00C854B3">
      <w:r>
        <w:t>This manual is intended to assist public bodies to understand the princip</w:t>
      </w:r>
      <w:r w:rsidR="00316A9A">
        <w:t>les</w:t>
      </w:r>
      <w:r>
        <w:t xml:space="preserve"> of the legislation</w:t>
      </w:r>
      <w:r w:rsidR="00F320A9">
        <w:t xml:space="preserve">. </w:t>
      </w:r>
    </w:p>
    <w:p w:rsidR="00F320A9" w:rsidRDefault="00F320A9" w:rsidP="00C854B3">
      <w:r>
        <w:t xml:space="preserve">This manual is will be updated with relevant information from recommendations and decisions made by the </w:t>
      </w:r>
      <w:r w:rsidR="00E5576C">
        <w:t xml:space="preserve">Yukon’s Information and Privacy </w:t>
      </w:r>
      <w:r w:rsidR="00316A9A">
        <w:t>Commissioner</w:t>
      </w:r>
      <w:r w:rsidR="00E5576C">
        <w:t xml:space="preserve">, the </w:t>
      </w:r>
      <w:r w:rsidR="009B3E41">
        <w:t>courts,</w:t>
      </w:r>
      <w:r>
        <w:t xml:space="preserve"> or when the Access and Privacy Officer issues </w:t>
      </w:r>
      <w:r w:rsidR="00311B31">
        <w:t xml:space="preserve">or updates </w:t>
      </w:r>
      <w:r w:rsidR="003834E2">
        <w:t xml:space="preserve">ATIPP </w:t>
      </w:r>
      <w:r w:rsidR="00311B31">
        <w:t>protocols.</w:t>
      </w:r>
    </w:p>
    <w:p w:rsidR="00311B31" w:rsidRDefault="00311B31" w:rsidP="00C854B3">
      <w:r>
        <w:t xml:space="preserve">This manual is </w:t>
      </w:r>
      <w:r w:rsidR="00316A9A">
        <w:t>simply</w:t>
      </w:r>
      <w:r>
        <w:t xml:space="preserve"> a </w:t>
      </w:r>
      <w:r w:rsidR="00316A9A">
        <w:t xml:space="preserve">guidance document </w:t>
      </w:r>
      <w:r>
        <w:t xml:space="preserve">and is not intended to provide authority for decisions. </w:t>
      </w:r>
    </w:p>
    <w:p w:rsidR="00765F66" w:rsidRDefault="00765F66" w:rsidP="00C854B3">
      <w:r>
        <w:t xml:space="preserve">Each </w:t>
      </w:r>
      <w:r w:rsidR="00E5576C">
        <w:t>c</w:t>
      </w:r>
      <w:r>
        <w:t xml:space="preserve">hapter of </w:t>
      </w:r>
      <w:r w:rsidR="00316A9A">
        <w:t xml:space="preserve">this </w:t>
      </w:r>
      <w:r>
        <w:t xml:space="preserve">manual correlates with a PART of the </w:t>
      </w:r>
      <w:r w:rsidRPr="00B375F4">
        <w:t>Act</w:t>
      </w:r>
      <w:r>
        <w:t xml:space="preserve"> and features a table of contents. Some chapters have an overview to provide additional guidance to help </w:t>
      </w:r>
      <w:r w:rsidR="00D92B28">
        <w:t xml:space="preserve">readers </w:t>
      </w:r>
      <w:r>
        <w:t xml:space="preserve">understand sections of the Act. </w:t>
      </w:r>
    </w:p>
    <w:p w:rsidR="00E5576C" w:rsidRDefault="00316A9A" w:rsidP="00E5576C">
      <w:pPr>
        <w:rPr>
          <w:rFonts w:ascii="Montserrat" w:hAnsi="Montserrat"/>
          <w:b/>
          <w:sz w:val="28"/>
        </w:rPr>
        <w:sectPr w:rsidR="00E5576C" w:rsidSect="00353B37">
          <w:headerReference w:type="first" r:id="rId7"/>
          <w:footerReference w:type="first" r:id="rId8"/>
          <w:pgSz w:w="12240" w:h="15840"/>
          <w:pgMar w:top="1440" w:right="1440" w:bottom="1440" w:left="1440" w:header="708" w:footer="708" w:gutter="0"/>
          <w:pgNumType w:fmt="lowerRoman"/>
          <w:cols w:space="708"/>
          <w:titlePg/>
          <w:docGrid w:linePitch="360"/>
        </w:sectPr>
      </w:pPr>
      <w:r>
        <w:t xml:space="preserve">To create </w:t>
      </w:r>
      <w:r w:rsidR="00E5576C">
        <w:t>this manual, the ATIPP Office relied on information from the Government of Alberta FOIP (</w:t>
      </w:r>
      <w:r w:rsidR="00E5576C" w:rsidRPr="00A5798C">
        <w:rPr>
          <w:i/>
        </w:rPr>
        <w:t>Freedom of Information and Protection of Privacy</w:t>
      </w:r>
      <w:r w:rsidRPr="00A5798C">
        <w:rPr>
          <w:i/>
        </w:rPr>
        <w:t>)</w:t>
      </w:r>
      <w:r w:rsidR="00E5576C" w:rsidRPr="00A5798C">
        <w:rPr>
          <w:i/>
        </w:rPr>
        <w:t xml:space="preserve"> Act</w:t>
      </w:r>
      <w:r w:rsidR="00E5576C">
        <w:t xml:space="preserve"> Guidelines and Practices 2009 Manual and the Government of British </w:t>
      </w:r>
      <w:r w:rsidR="004B5ECD">
        <w:t>Columbia’s webpages</w:t>
      </w:r>
      <w:r w:rsidR="00E5576C">
        <w:t xml:space="preserve"> on the </w:t>
      </w:r>
      <w:r w:rsidR="00E5576C" w:rsidRPr="00A5798C">
        <w:rPr>
          <w:i/>
        </w:rPr>
        <w:t>Freedom of Information and Protection of Privacy Act</w:t>
      </w:r>
      <w:r w:rsidR="00E5576C">
        <w:t xml:space="preserve"> (FOIPPA). The ATIPP Office would like to acknowledge the Open Information </w:t>
      </w:r>
      <w:r>
        <w:t xml:space="preserve">principles </w:t>
      </w:r>
      <w:r w:rsidR="003834E2">
        <w:t xml:space="preserve">published by </w:t>
      </w:r>
      <w:r w:rsidR="00E5576C">
        <w:t xml:space="preserve">these other jurisdictions that </w:t>
      </w:r>
      <w:r w:rsidR="003834E2">
        <w:t xml:space="preserve">assisted the writers </w:t>
      </w:r>
      <w:r w:rsidR="004B5ECD">
        <w:t>to complete</w:t>
      </w:r>
      <w:r w:rsidR="003834E2">
        <w:t xml:space="preserve"> </w:t>
      </w:r>
      <w:r w:rsidR="00E5576C">
        <w:t>this manual.</w:t>
      </w:r>
    </w:p>
    <w:p w:rsidR="00D92B28" w:rsidRDefault="00D92B28" w:rsidP="00C854B3">
      <w:pPr>
        <w:rPr>
          <w:rFonts w:ascii="Montserrat" w:hAnsi="Montserrat"/>
          <w:b/>
          <w:sz w:val="28"/>
        </w:rPr>
      </w:pPr>
    </w:p>
    <w:p w:rsidR="008D7291" w:rsidRPr="00752DED" w:rsidRDefault="008D7291" w:rsidP="008D7291">
      <w:pPr>
        <w:pBdr>
          <w:top w:val="single" w:sz="4" w:space="1" w:color="auto"/>
          <w:bottom w:val="single" w:sz="4" w:space="1" w:color="auto"/>
        </w:pBdr>
        <w:rPr>
          <w:b/>
          <w:sz w:val="24"/>
        </w:rPr>
      </w:pPr>
      <w:r>
        <w:rPr>
          <w:b/>
          <w:sz w:val="20"/>
        </w:rPr>
        <w:t>SECTION HEADING</w:t>
      </w:r>
    </w:p>
    <w:p w:rsidR="008D7291" w:rsidRDefault="008D7291" w:rsidP="008D7291">
      <w:r>
        <w:t>Each section has a</w:t>
      </w:r>
      <w:r w:rsidR="00D92B28">
        <w:t>n</w:t>
      </w:r>
      <w:r>
        <w:t xml:space="preserve"> introduction to provide context.</w:t>
      </w:r>
    </w:p>
    <w:p w:rsidR="008D7291" w:rsidRDefault="00107F8C" w:rsidP="008D7291">
      <w:r>
        <w:t>The preambles may include definitions.</w:t>
      </w:r>
      <w:r w:rsidR="00CC5974">
        <w:t xml:space="preserve"> </w:t>
      </w:r>
      <w:r w:rsidR="007E219E">
        <w:t>If definitions are from the</w:t>
      </w:r>
      <w:r w:rsidR="00CC5974">
        <w:t xml:space="preserve"> </w:t>
      </w:r>
      <w:r w:rsidR="00CC5974" w:rsidRPr="0014287C">
        <w:rPr>
          <w:i/>
        </w:rPr>
        <w:t>ATIPP Act</w:t>
      </w:r>
      <w:r w:rsidR="00CC5974">
        <w:t xml:space="preserve">, they are in </w:t>
      </w:r>
      <w:r w:rsidR="00CC5974" w:rsidRPr="00CC5974">
        <w:rPr>
          <w:b/>
        </w:rPr>
        <w:t>bold</w:t>
      </w:r>
      <w:r>
        <w:rPr>
          <w:b/>
        </w:rPr>
        <w:t xml:space="preserve"> </w:t>
      </w:r>
      <w:r w:rsidRPr="00107F8C">
        <w:t>capital letters</w:t>
      </w:r>
      <w:r w:rsidR="00CC5974">
        <w:t xml:space="preserve">, with </w:t>
      </w:r>
      <w:r w:rsidR="0014287C">
        <w:t>quotation marks</w:t>
      </w:r>
      <w:r w:rsidR="00CC5974">
        <w:t>:</w:t>
      </w:r>
    </w:p>
    <w:p w:rsidR="00CC5974" w:rsidRPr="00CC5974" w:rsidRDefault="00CC5974" w:rsidP="008D7291">
      <w:pPr>
        <w:rPr>
          <w:b/>
        </w:rPr>
      </w:pPr>
      <w:r w:rsidRPr="00CC5974">
        <w:rPr>
          <w:b/>
        </w:rPr>
        <w:t>“DEFINITION”</w:t>
      </w:r>
    </w:p>
    <w:p w:rsidR="008D7291" w:rsidRDefault="00CC5974" w:rsidP="008D7291">
      <w:r>
        <w:t xml:space="preserve">Other definitions, taken from </w:t>
      </w:r>
      <w:r w:rsidR="00F0037B">
        <w:t>common</w:t>
      </w:r>
      <w:r>
        <w:t xml:space="preserve"> dictionary</w:t>
      </w:r>
      <w:r w:rsidR="00F0037B">
        <w:t xml:space="preserve"> definitions</w:t>
      </w:r>
      <w:r w:rsidR="0014287C">
        <w:t>,</w:t>
      </w:r>
      <w:r>
        <w:t xml:space="preserve"> are in capital letters:</w:t>
      </w:r>
    </w:p>
    <w:p w:rsidR="00CC5974" w:rsidRDefault="00CC5974" w:rsidP="008D7291">
      <w:r>
        <w:t>DEFINITION</w:t>
      </w:r>
    </w:p>
    <w:p w:rsidR="008D7291" w:rsidRDefault="008D7291" w:rsidP="008D7291">
      <w:pPr>
        <w:ind w:left="720"/>
        <w:rPr>
          <w:color w:val="000000"/>
        </w:rPr>
      </w:pPr>
      <w:r>
        <w:rPr>
          <w:b/>
          <w:color w:val="000000"/>
        </w:rPr>
        <w:t xml:space="preserve">SECTIONS </w:t>
      </w:r>
      <w:r>
        <w:rPr>
          <w:color w:val="000000"/>
        </w:rPr>
        <w:t xml:space="preserve">of the Act are indented in the manual </w:t>
      </w:r>
      <w:r w:rsidR="00CC5974">
        <w:rPr>
          <w:color w:val="000000"/>
        </w:rPr>
        <w:t>to provide a visual cue between the Act and the information provided to assist the reader with the interpretation.</w:t>
      </w:r>
    </w:p>
    <w:p w:rsidR="00CC5974" w:rsidRPr="008D7291" w:rsidRDefault="0014287C" w:rsidP="00CC5974">
      <w:r>
        <w:rPr>
          <w:color w:val="000000"/>
        </w:rPr>
        <w:t xml:space="preserve">Sections may refer you to other related sections, which are identified in </w:t>
      </w:r>
      <w:r w:rsidRPr="00CC5974">
        <w:rPr>
          <w:b/>
        </w:rPr>
        <w:t>bold</w:t>
      </w:r>
      <w:r>
        <w:t xml:space="preserve">, with parentheses (see </w:t>
      </w:r>
      <w:r w:rsidRPr="0014287C">
        <w:rPr>
          <w:b/>
        </w:rPr>
        <w:t>section X</w:t>
      </w:r>
      <w:r>
        <w:t>).</w:t>
      </w:r>
    </w:p>
    <w:p w:rsidR="00765F66" w:rsidRDefault="0014287C" w:rsidP="00C854B3">
      <w:r>
        <w:t xml:space="preserve">Some sections may have a process map or decision matrix to assist </w:t>
      </w:r>
      <w:r w:rsidR="00107F8C">
        <w:t xml:space="preserve">to assist the reader to interpret </w:t>
      </w:r>
      <w:r>
        <w:t>the section.</w:t>
      </w:r>
    </w:p>
    <w:p w:rsidR="00510EDC" w:rsidRPr="00C854B3" w:rsidRDefault="00510EDC" w:rsidP="00C854B3"/>
    <w:sectPr w:rsidR="00510EDC" w:rsidRPr="00C854B3" w:rsidSect="00353B37">
      <w:headerReference w:type="first" r:id="rId9"/>
      <w:pgSz w:w="12240" w:h="15840"/>
      <w:pgMar w:top="1440" w:right="1440" w:bottom="1440" w:left="1440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71" w:rsidRDefault="00740D71" w:rsidP="00740D71">
      <w:pPr>
        <w:spacing w:after="0" w:line="240" w:lineRule="auto"/>
      </w:pPr>
      <w:r>
        <w:separator/>
      </w:r>
    </w:p>
  </w:endnote>
  <w:endnote w:type="continuationSeparator" w:id="0">
    <w:p w:rsidR="00740D71" w:rsidRDefault="00740D71" w:rsidP="0074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37" w:rsidRDefault="00353B37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-439420</wp:posOffset>
              </wp:positionH>
              <wp:positionV relativeFrom="paragraph">
                <wp:posOffset>22547</wp:posOffset>
              </wp:positionV>
              <wp:extent cx="5307965" cy="248920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7965" cy="24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3B37" w:rsidRDefault="00510EDC">
                          <w:r>
                            <w:t>ATIPP INTERPRETATION MANUAL: INTRODUCTION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6pt;margin-top:1.8pt;width:417.95pt;height:1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" stroked="f">
              <v:textbox>
                <w:txbxContent>
                  <w:p w:rsidR="00353B37" w:rsidRDefault="00510EDC">
                    <w:r>
                      <w:t>ATIPP INTERPRETATION MANUAL: INTRODUCTION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17808324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839">
          <w:rPr>
            <w:noProof/>
          </w:rPr>
          <w:t>i</w:t>
        </w:r>
        <w:r>
          <w:rPr>
            <w:noProof/>
          </w:rPr>
          <w:fldChar w:fldCharType="end"/>
        </w:r>
      </w:sdtContent>
    </w:sdt>
  </w:p>
  <w:p w:rsidR="009F3668" w:rsidRDefault="009F3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71" w:rsidRDefault="00740D71" w:rsidP="00740D71">
      <w:pPr>
        <w:spacing w:after="0" w:line="240" w:lineRule="auto"/>
      </w:pPr>
      <w:r>
        <w:separator/>
      </w:r>
    </w:p>
  </w:footnote>
  <w:footnote w:type="continuationSeparator" w:id="0">
    <w:p w:rsidR="00740D71" w:rsidRDefault="00740D71" w:rsidP="0074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C0" w:rsidRPr="00FB61A4" w:rsidRDefault="00FB61A4">
    <w:pPr>
      <w:pStyle w:val="Header"/>
      <w:rPr>
        <w:rFonts w:ascii="Montserrat" w:hAnsi="Montserrat"/>
        <w:b/>
        <w:sz w:val="36"/>
        <w:lang w:val="en-CA"/>
      </w:rPr>
    </w:pPr>
    <w:r>
      <w:rPr>
        <w:rFonts w:ascii="Montserrat" w:hAnsi="Montserrat"/>
        <w:b/>
        <w:sz w:val="36"/>
        <w:lang w:val="en-CA"/>
      </w:rPr>
      <w:t>ACCESS TO INFORMATION AND PROTECTION OF PRIVACY ACT</w:t>
    </w:r>
    <w:r w:rsidR="00765F66">
      <w:rPr>
        <w:rFonts w:ascii="Montserrat" w:hAnsi="Montserrat"/>
        <w:b/>
        <w:sz w:val="36"/>
        <w:lang w:val="en-CA"/>
      </w:rPr>
      <w:t xml:space="preserve"> MANUAL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31" w:rsidRPr="00FB61A4" w:rsidRDefault="00311B31">
    <w:pPr>
      <w:pStyle w:val="Header"/>
      <w:rPr>
        <w:rFonts w:ascii="Montserrat" w:hAnsi="Montserrat"/>
        <w:b/>
        <w:sz w:val="36"/>
        <w:lang w:val="en-CA"/>
      </w:rPr>
    </w:pPr>
    <w:r>
      <w:rPr>
        <w:rFonts w:ascii="Montserrat" w:hAnsi="Montserrat"/>
        <w:b/>
        <w:sz w:val="36"/>
        <w:lang w:val="en-CA"/>
      </w:rPr>
      <w:t>THE LAYOUT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E3D"/>
    <w:multiLevelType w:val="hybridMultilevel"/>
    <w:tmpl w:val="3782E2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1F8A"/>
    <w:multiLevelType w:val="hybridMultilevel"/>
    <w:tmpl w:val="35DED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38AE"/>
    <w:multiLevelType w:val="hybridMultilevel"/>
    <w:tmpl w:val="3118E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04347"/>
    <w:multiLevelType w:val="hybridMultilevel"/>
    <w:tmpl w:val="5D62D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5036"/>
    <w:multiLevelType w:val="hybridMultilevel"/>
    <w:tmpl w:val="BD2A7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1E2A"/>
    <w:multiLevelType w:val="hybridMultilevel"/>
    <w:tmpl w:val="E222D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B2984"/>
    <w:multiLevelType w:val="hybridMultilevel"/>
    <w:tmpl w:val="AA76D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C3ED6"/>
    <w:multiLevelType w:val="hybridMultilevel"/>
    <w:tmpl w:val="C672B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1F5"/>
    <w:multiLevelType w:val="hybridMultilevel"/>
    <w:tmpl w:val="BE181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CE"/>
    <w:rsid w:val="00056EC9"/>
    <w:rsid w:val="000616B6"/>
    <w:rsid w:val="00080E40"/>
    <w:rsid w:val="000A0AB2"/>
    <w:rsid w:val="000F5C3A"/>
    <w:rsid w:val="00100601"/>
    <w:rsid w:val="00107F8C"/>
    <w:rsid w:val="0014287C"/>
    <w:rsid w:val="001A6678"/>
    <w:rsid w:val="001F0FB0"/>
    <w:rsid w:val="002439B9"/>
    <w:rsid w:val="00256592"/>
    <w:rsid w:val="00311B31"/>
    <w:rsid w:val="00316A9A"/>
    <w:rsid w:val="0032178E"/>
    <w:rsid w:val="00351015"/>
    <w:rsid w:val="00353B37"/>
    <w:rsid w:val="003834E2"/>
    <w:rsid w:val="003D2709"/>
    <w:rsid w:val="003E7678"/>
    <w:rsid w:val="004918D3"/>
    <w:rsid w:val="004B5ECD"/>
    <w:rsid w:val="00510EDC"/>
    <w:rsid w:val="00531984"/>
    <w:rsid w:val="005710DD"/>
    <w:rsid w:val="005901CE"/>
    <w:rsid w:val="00626CCE"/>
    <w:rsid w:val="00642723"/>
    <w:rsid w:val="007203D5"/>
    <w:rsid w:val="00740D71"/>
    <w:rsid w:val="00765F66"/>
    <w:rsid w:val="007A1885"/>
    <w:rsid w:val="007E219E"/>
    <w:rsid w:val="008420EA"/>
    <w:rsid w:val="00884767"/>
    <w:rsid w:val="008D7291"/>
    <w:rsid w:val="009B3E41"/>
    <w:rsid w:val="009F0EC0"/>
    <w:rsid w:val="009F3668"/>
    <w:rsid w:val="00A17AEA"/>
    <w:rsid w:val="00A40D8A"/>
    <w:rsid w:val="00A5798C"/>
    <w:rsid w:val="00A75A93"/>
    <w:rsid w:val="00A90C05"/>
    <w:rsid w:val="00AC1291"/>
    <w:rsid w:val="00B375F4"/>
    <w:rsid w:val="00B41839"/>
    <w:rsid w:val="00B506A1"/>
    <w:rsid w:val="00B93145"/>
    <w:rsid w:val="00BE6FB7"/>
    <w:rsid w:val="00BF6BB4"/>
    <w:rsid w:val="00C14F1F"/>
    <w:rsid w:val="00C2727B"/>
    <w:rsid w:val="00C452C8"/>
    <w:rsid w:val="00C53BFF"/>
    <w:rsid w:val="00C8293D"/>
    <w:rsid w:val="00C854B3"/>
    <w:rsid w:val="00CC5974"/>
    <w:rsid w:val="00D92B28"/>
    <w:rsid w:val="00E5576C"/>
    <w:rsid w:val="00EA0733"/>
    <w:rsid w:val="00EB3B3F"/>
    <w:rsid w:val="00F0037B"/>
    <w:rsid w:val="00F1177F"/>
    <w:rsid w:val="00F320A9"/>
    <w:rsid w:val="00FB61A4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EDAAB283-A937-43F4-93F7-CBF87F53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6B6"/>
    <w:rPr>
      <w:rFonts w:ascii="Nunito Sans" w:hAnsi="Nunito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3D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b/>
      <w:color w:val="7A970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3D"/>
    <w:pPr>
      <w:keepNext/>
      <w:keepLines/>
      <w:spacing w:before="40" w:after="0"/>
      <w:outlineLvl w:val="1"/>
    </w:pPr>
    <w:rPr>
      <w:rFonts w:eastAsiaTheme="majorEastAsia" w:cstheme="majorBidi"/>
      <w:b/>
      <w:color w:val="ED952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6B6"/>
    <w:pPr>
      <w:keepNext/>
      <w:keepLines/>
      <w:spacing w:before="40" w:after="0"/>
      <w:outlineLvl w:val="2"/>
    </w:pPr>
    <w:rPr>
      <w:rFonts w:eastAsiaTheme="majorEastAsia" w:cstheme="majorBidi"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2A900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F1F"/>
    <w:pPr>
      <w:spacing w:after="0" w:line="240" w:lineRule="auto"/>
    </w:pPr>
    <w:rPr>
      <w:rFonts w:ascii="Nunito Sans" w:hAnsi="Nunito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62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293D"/>
    <w:rPr>
      <w:rFonts w:ascii="Montserrat" w:eastAsiaTheme="majorEastAsia" w:hAnsi="Montserrat" w:cstheme="majorBidi"/>
      <w:b/>
      <w:color w:val="7A970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3D"/>
    <w:rPr>
      <w:rFonts w:ascii="Nunito Sans" w:eastAsiaTheme="majorEastAsia" w:hAnsi="Nunito Sans" w:cstheme="majorBidi"/>
      <w:b/>
      <w:color w:val="ED952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F0FB0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F0FB0"/>
    <w:rPr>
      <w:rFonts w:ascii="Nunito Sans" w:hAnsi="Nunito Sans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710D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16B6"/>
    <w:rPr>
      <w:rFonts w:ascii="Nunito Sans" w:eastAsiaTheme="majorEastAsia" w:hAnsi="Nunito Sans" w:cstheme="majorBidi"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6B6"/>
    <w:rPr>
      <w:rFonts w:asciiTheme="majorHAnsi" w:eastAsiaTheme="majorEastAsia" w:hAnsiTheme="majorHAnsi" w:cstheme="majorBidi"/>
      <w:i/>
      <w:iCs/>
      <w:color w:val="F2A900" w:themeColor="accent6"/>
    </w:rPr>
  </w:style>
  <w:style w:type="paragraph" w:styleId="Title">
    <w:name w:val="Title"/>
    <w:basedOn w:val="Normal"/>
    <w:next w:val="Normal"/>
    <w:link w:val="TitleChar"/>
    <w:uiPriority w:val="10"/>
    <w:qFormat/>
    <w:rsid w:val="00B931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74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D71"/>
    <w:rPr>
      <w:rFonts w:ascii="Nunito Sans" w:hAnsi="Nunito Sans"/>
    </w:rPr>
  </w:style>
  <w:style w:type="paragraph" w:styleId="ListParagraph">
    <w:name w:val="List Paragraph"/>
    <w:basedOn w:val="Normal"/>
    <w:uiPriority w:val="34"/>
    <w:qFormat/>
    <w:rsid w:val="00FE6C1E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12A44"/>
      </a:accent1>
      <a:accent2>
        <a:srgbClr val="0197A9"/>
      </a:accent2>
      <a:accent3>
        <a:srgbClr val="DC4405"/>
      </a:accent3>
      <a:accent4>
        <a:srgbClr val="244C5A"/>
      </a:accent4>
      <a:accent5>
        <a:srgbClr val="7A9A01"/>
      </a:accent5>
      <a:accent6>
        <a:srgbClr val="F2A9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Gwen.Rempel</dc:creator>
  <cp:keywords/>
  <dc:description/>
  <cp:lastModifiedBy>Rebecca.Manias</cp:lastModifiedBy>
  <cp:revision>2</cp:revision>
  <dcterms:created xsi:type="dcterms:W3CDTF">2022-02-22T22:35:00Z</dcterms:created>
  <dcterms:modified xsi:type="dcterms:W3CDTF">2022-02-22T22:35:00Z</dcterms:modified>
</cp:coreProperties>
</file>